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9469" w14:textId="6DAE7360" w:rsidR="001C18F7" w:rsidRDefault="009B7D1D" w:rsidP="001C18F7">
      <w:pPr>
        <w:pStyle w:val="Rubrik1"/>
      </w:pPr>
      <w:bookmarkStart w:id="0" w:name="_GoBack"/>
      <w:bookmarkEnd w:id="0"/>
      <w:r>
        <w:t>R</w:t>
      </w:r>
      <w:r w:rsidR="001C18F7">
        <w:t>iktlinjer för god ekonomisk hushållning i Falu kommun</w:t>
      </w:r>
    </w:p>
    <w:p w14:paraId="355A4E5F" w14:textId="162EAF62" w:rsidR="001C18F7" w:rsidRPr="00C456F8" w:rsidRDefault="001C18F7" w:rsidP="001C18F7">
      <w:pPr>
        <w:pStyle w:val="Vision2"/>
        <w:rPr>
          <w:i/>
        </w:rPr>
      </w:pPr>
      <w:r w:rsidRPr="00C456F8">
        <w:rPr>
          <w:i/>
        </w:rPr>
        <w:t>Fastställt av kommunfullmäktige 2020-</w:t>
      </w:r>
      <w:r w:rsidR="007E0AA0">
        <w:rPr>
          <w:i/>
        </w:rPr>
        <w:t>12-10,</w:t>
      </w:r>
      <w:r w:rsidR="009B7D1D">
        <w:rPr>
          <w:i/>
        </w:rPr>
        <w:t xml:space="preserve"> </w:t>
      </w:r>
      <w:r w:rsidRPr="00C456F8">
        <w:rPr>
          <w:i/>
        </w:rPr>
        <w:t>§</w:t>
      </w:r>
      <w:r w:rsidR="007E0AA0">
        <w:rPr>
          <w:i/>
        </w:rPr>
        <w:t>300</w:t>
      </w:r>
    </w:p>
    <w:p w14:paraId="647D5E43" w14:textId="77777777" w:rsidR="001C18F7" w:rsidRPr="001C18F7" w:rsidRDefault="001C18F7" w:rsidP="001C18F7"/>
    <w:p w14:paraId="389622AE" w14:textId="77777777" w:rsidR="004D7758" w:rsidRPr="004D7758" w:rsidRDefault="004D7758" w:rsidP="004D7758">
      <w:pPr>
        <w:pStyle w:val="Rubrik2"/>
      </w:pPr>
      <w:r w:rsidRPr="004D7758">
        <w:t>Sammanfattning</w:t>
      </w:r>
    </w:p>
    <w:p w14:paraId="72BD4E17" w14:textId="309A2DBE"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I detta dokument redovisas riktlinjer f</w:t>
      </w:r>
      <w:r w:rsidR="00C74FC8">
        <w:rPr>
          <w:rFonts w:ascii="Times New Roman" w:hAnsi="Times New Roman" w:cs="Times New Roman"/>
        </w:rPr>
        <w:t>ö</w:t>
      </w:r>
      <w:r w:rsidRPr="004D7758">
        <w:rPr>
          <w:rFonts w:ascii="Times New Roman" w:hAnsi="Times New Roman" w:cs="Times New Roman"/>
        </w:rPr>
        <w:t>r kommunens finansiella delar av god ekonomisk hushållning samt riktlinjer f</w:t>
      </w:r>
      <w:r w:rsidR="00C74FC8">
        <w:rPr>
          <w:rFonts w:ascii="Times New Roman" w:hAnsi="Times New Roman" w:cs="Times New Roman"/>
        </w:rPr>
        <w:t>ö</w:t>
      </w:r>
      <w:r w:rsidRPr="004D7758">
        <w:rPr>
          <w:rFonts w:ascii="Times New Roman" w:hAnsi="Times New Roman" w:cs="Times New Roman"/>
        </w:rPr>
        <w:t xml:space="preserve">r resultatutjämningsreserv (RUR). </w:t>
      </w:r>
    </w:p>
    <w:p w14:paraId="6369C33C" w14:textId="27F9CD9C"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Kommunallagen förutsätter att fullmäktige beslut</w:t>
      </w:r>
      <w:r w:rsidR="00C74FC8">
        <w:rPr>
          <w:rFonts w:ascii="Times New Roman" w:hAnsi="Times New Roman" w:cs="Times New Roman"/>
        </w:rPr>
        <w:t>a</w:t>
      </w:r>
      <w:r w:rsidRPr="004D7758">
        <w:rPr>
          <w:rFonts w:ascii="Times New Roman" w:hAnsi="Times New Roman" w:cs="Times New Roman"/>
        </w:rPr>
        <w:t xml:space="preserve">r om riktlinjer för god ekonomisk hushållning. Syftet är att peka på de långsiktiga förutsättningarna och målen för kommunens ekonomiska hushållning. I </w:t>
      </w:r>
      <w:r w:rsidR="00E5671C">
        <w:rPr>
          <w:rFonts w:ascii="Times New Roman" w:hAnsi="Times New Roman" w:cs="Times New Roman"/>
        </w:rPr>
        <w:t>Falu kommun</w:t>
      </w:r>
      <w:r w:rsidRPr="004D7758">
        <w:rPr>
          <w:rFonts w:ascii="Times New Roman" w:hAnsi="Times New Roman" w:cs="Times New Roman"/>
        </w:rPr>
        <w:t xml:space="preserve"> är dessa mål uttryckt</w:t>
      </w:r>
      <w:r w:rsidR="00CC6F8F">
        <w:rPr>
          <w:rFonts w:ascii="Times New Roman" w:hAnsi="Times New Roman" w:cs="Times New Roman"/>
        </w:rPr>
        <w:t>a</w:t>
      </w:r>
      <w:r w:rsidRPr="004D7758">
        <w:rPr>
          <w:rFonts w:ascii="Times New Roman" w:hAnsi="Times New Roman" w:cs="Times New Roman"/>
        </w:rPr>
        <w:t xml:space="preserve"> dels i </w:t>
      </w:r>
      <w:r w:rsidR="00E5671C">
        <w:rPr>
          <w:rFonts w:ascii="Times New Roman" w:hAnsi="Times New Roman" w:cs="Times New Roman"/>
        </w:rPr>
        <w:t xml:space="preserve">Program för mandatperioden </w:t>
      </w:r>
      <w:r w:rsidRPr="004D7758">
        <w:rPr>
          <w:rFonts w:ascii="Times New Roman" w:hAnsi="Times New Roman" w:cs="Times New Roman"/>
        </w:rPr>
        <w:t xml:space="preserve">dels </w:t>
      </w:r>
      <w:r w:rsidR="00E5671C">
        <w:rPr>
          <w:rFonts w:ascii="Times New Roman" w:hAnsi="Times New Roman" w:cs="Times New Roman"/>
        </w:rPr>
        <w:t xml:space="preserve">i </w:t>
      </w:r>
      <w:r w:rsidRPr="004D7758">
        <w:rPr>
          <w:rFonts w:ascii="Times New Roman" w:hAnsi="Times New Roman" w:cs="Times New Roman"/>
        </w:rPr>
        <w:t xml:space="preserve">kommunens </w:t>
      </w:r>
      <w:r w:rsidR="00E5671C">
        <w:rPr>
          <w:rFonts w:ascii="Times New Roman" w:hAnsi="Times New Roman" w:cs="Times New Roman"/>
        </w:rPr>
        <w:t>Årsplan med budget</w:t>
      </w:r>
      <w:r w:rsidRPr="004D7758">
        <w:rPr>
          <w:rFonts w:ascii="Times New Roman" w:hAnsi="Times New Roman" w:cs="Times New Roman"/>
        </w:rPr>
        <w:t xml:space="preserve"> där även kommunens finansiella mål framgår. </w:t>
      </w:r>
    </w:p>
    <w:p w14:paraId="6B73D0CD"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Riktlinjerna för god ekonomisk hushållning innehåller även tillämpning av RUR som kan användas för att utjämna de ekonomiska förutsättningarna för kommunen över en konjunkturcykel. RUR följs upp och beslutas i kommunfullmäktige två gånger om året: i samband med årsredovisningen och vid </w:t>
      </w:r>
      <w:r w:rsidR="00E5671C">
        <w:rPr>
          <w:rFonts w:ascii="Times New Roman" w:hAnsi="Times New Roman" w:cs="Times New Roman"/>
        </w:rPr>
        <w:t>delårsrapporten</w:t>
      </w:r>
      <w:r w:rsidRPr="004D7758">
        <w:rPr>
          <w:rFonts w:ascii="Times New Roman" w:hAnsi="Times New Roman" w:cs="Times New Roman"/>
        </w:rPr>
        <w:t xml:space="preserve">. </w:t>
      </w:r>
    </w:p>
    <w:p w14:paraId="551E39EA"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Utvärderingen av följsamhet till såväl de långsiktiga riktlinjerna som de ekonomiska målen i det årliga budgetbeslutet ska ske i samband med årsredovisningen. </w:t>
      </w:r>
    </w:p>
    <w:p w14:paraId="03A0A027" w14:textId="77777777" w:rsidR="004D7758" w:rsidRDefault="004D7758" w:rsidP="004D7758">
      <w:pPr>
        <w:pStyle w:val="Rubrik2"/>
        <w:spacing w:before="240"/>
      </w:pPr>
      <w:r w:rsidRPr="004D7758">
        <w:t xml:space="preserve">Bakgrund </w:t>
      </w:r>
    </w:p>
    <w:p w14:paraId="442C98FD" w14:textId="6571BD59" w:rsidR="004D7758" w:rsidRPr="004D7758" w:rsidRDefault="00CC6F8F" w:rsidP="004D7758">
      <w:pPr>
        <w:spacing w:before="240" w:after="80"/>
        <w:rPr>
          <w:rFonts w:ascii="Times New Roman" w:hAnsi="Times New Roman" w:cs="Times New Roman"/>
        </w:rPr>
      </w:pPr>
      <w:r>
        <w:rPr>
          <w:rFonts w:ascii="Times New Roman" w:hAnsi="Times New Roman" w:cs="Times New Roman"/>
        </w:rPr>
        <w:t>Sedan</w:t>
      </w:r>
      <w:r w:rsidR="004D7758" w:rsidRPr="004D7758">
        <w:rPr>
          <w:rFonts w:ascii="Times New Roman" w:hAnsi="Times New Roman" w:cs="Times New Roman"/>
        </w:rPr>
        <w:t xml:space="preserve"> 2013 </w:t>
      </w:r>
      <w:r>
        <w:rPr>
          <w:rFonts w:ascii="Times New Roman" w:hAnsi="Times New Roman" w:cs="Times New Roman"/>
        </w:rPr>
        <w:t>ger</w:t>
      </w:r>
      <w:r w:rsidR="004D7758" w:rsidRPr="004D7758">
        <w:rPr>
          <w:rFonts w:ascii="Times New Roman" w:hAnsi="Times New Roman" w:cs="Times New Roman"/>
        </w:rPr>
        <w:t xml:space="preserve"> kommunallagen kommuner och regioner möjlighet att utjämna intäkter över tid och därigenom få bättre förutsättningar att m</w:t>
      </w:r>
      <w:r w:rsidR="00FE35F8">
        <w:rPr>
          <w:rFonts w:ascii="Times New Roman" w:hAnsi="Times New Roman" w:cs="Times New Roman"/>
        </w:rPr>
        <w:t>ö</w:t>
      </w:r>
      <w:r w:rsidR="004D7758" w:rsidRPr="004D7758">
        <w:rPr>
          <w:rFonts w:ascii="Times New Roman" w:hAnsi="Times New Roman" w:cs="Times New Roman"/>
        </w:rPr>
        <w:t xml:space="preserve">ta effekterna av konjunkturvariationer. </w:t>
      </w:r>
      <w:r>
        <w:rPr>
          <w:rFonts w:ascii="Times New Roman" w:hAnsi="Times New Roman" w:cs="Times New Roman"/>
        </w:rPr>
        <w:t>R</w:t>
      </w:r>
      <w:r w:rsidR="004D7758" w:rsidRPr="004D7758">
        <w:rPr>
          <w:rFonts w:ascii="Times New Roman" w:hAnsi="Times New Roman" w:cs="Times New Roman"/>
        </w:rPr>
        <w:t xml:space="preserve">egelverket följde med när en ny kommunallag började gälla 1 januari 2019. De viktigaste punkterna kan sammanfattas som följande: </w:t>
      </w:r>
    </w:p>
    <w:p w14:paraId="7DF5EAD0" w14:textId="77777777" w:rsidR="004D7758" w:rsidRDefault="004D7758" w:rsidP="004D7758">
      <w:pPr>
        <w:pStyle w:val="Rubrik3"/>
      </w:pPr>
      <w:r w:rsidRPr="004D7758">
        <w:t xml:space="preserve">Kommunallagen </w:t>
      </w:r>
    </w:p>
    <w:p w14:paraId="5E3E23A6" w14:textId="3CC1E8C4"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Lagen anger att fullmäktige ska besluta om riktlinjer f</w:t>
      </w:r>
      <w:r w:rsidR="00780D3E">
        <w:rPr>
          <w:rFonts w:ascii="Times New Roman" w:hAnsi="Times New Roman" w:cs="Times New Roman"/>
        </w:rPr>
        <w:t>ö</w:t>
      </w:r>
      <w:r w:rsidRPr="004D7758">
        <w:rPr>
          <w:rFonts w:ascii="Times New Roman" w:hAnsi="Times New Roman" w:cs="Times New Roman"/>
        </w:rPr>
        <w:t xml:space="preserve">r god ekonomisk hushållning. Om vissa angivna förutsättningar är uppfyllda, får kommuner och </w:t>
      </w:r>
      <w:r w:rsidR="00E5671C">
        <w:rPr>
          <w:rFonts w:ascii="Times New Roman" w:hAnsi="Times New Roman" w:cs="Times New Roman"/>
        </w:rPr>
        <w:t>regioner</w:t>
      </w:r>
      <w:r w:rsidRPr="004D7758">
        <w:rPr>
          <w:rFonts w:ascii="Times New Roman" w:hAnsi="Times New Roman" w:cs="Times New Roman"/>
        </w:rPr>
        <w:t xml:space="preserve"> i balanskravsutredningen reservera och disponera medel till/från en resultatutjämningsreserv (RUR). Om RUR ska användas måste riktlinjerna f</w:t>
      </w:r>
      <w:r w:rsidR="0035493B">
        <w:rPr>
          <w:rFonts w:ascii="Times New Roman" w:hAnsi="Times New Roman" w:cs="Times New Roman"/>
        </w:rPr>
        <w:t>ö</w:t>
      </w:r>
      <w:r w:rsidRPr="004D7758">
        <w:rPr>
          <w:rFonts w:ascii="Times New Roman" w:hAnsi="Times New Roman" w:cs="Times New Roman"/>
        </w:rPr>
        <w:t xml:space="preserve">r god ekonomisk hushållning även omfatta hanteringen av en sådan reserv. </w:t>
      </w:r>
    </w:p>
    <w:p w14:paraId="10EA7B56" w14:textId="77777777" w:rsidR="004D7758" w:rsidRDefault="004D7758" w:rsidP="004D7758">
      <w:pPr>
        <w:pStyle w:val="Rubrik3"/>
      </w:pPr>
      <w:r w:rsidRPr="004D7758">
        <w:t>Lagen om kommunal bokföring och redovisning</w:t>
      </w:r>
    </w:p>
    <w:p w14:paraId="0E8A5887" w14:textId="537102C3" w:rsidR="004D7758" w:rsidRPr="00FB5922" w:rsidRDefault="00FB5922" w:rsidP="00FB5922">
      <w:pPr>
        <w:spacing w:before="240" w:after="80"/>
        <w:rPr>
          <w:rFonts w:ascii="Times New Roman" w:hAnsi="Times New Roman" w:cs="Times New Roman"/>
        </w:rPr>
      </w:pPr>
      <w:r>
        <w:rPr>
          <w:rFonts w:ascii="Times New Roman" w:hAnsi="Times New Roman" w:cs="Times New Roman"/>
        </w:rPr>
        <w:t>Lagen om kommunal bokföring och redovisning (LKBR) är en ny lag som började gälla 1 januari 2019. Enligt lagen</w:t>
      </w:r>
      <w:r w:rsidR="004D7758" w:rsidRPr="00FB5922">
        <w:rPr>
          <w:rFonts w:ascii="Times New Roman" w:hAnsi="Times New Roman" w:cs="Times New Roman"/>
        </w:rPr>
        <w:t xml:space="preserve"> </w:t>
      </w:r>
      <w:r>
        <w:rPr>
          <w:rFonts w:ascii="Times New Roman" w:hAnsi="Times New Roman" w:cs="Times New Roman"/>
        </w:rPr>
        <w:t>ska det i förvaltningsberättelsen göras en utvärdering om de mål och riktlinjerna för god ekonomisk hushållning uppnåtts och följts. Dessutom blev det obligatoriskt att sammanställa en balanskravsutredning där ”Årets balanskravresultat” inklusive eventuell förändring av RUR framgår.</w:t>
      </w:r>
    </w:p>
    <w:p w14:paraId="77D2FB16" w14:textId="608FB714" w:rsidR="004D7758" w:rsidRPr="00FB5922" w:rsidRDefault="004D7758" w:rsidP="00FB5922">
      <w:pPr>
        <w:spacing w:before="240" w:after="80"/>
        <w:rPr>
          <w:rFonts w:ascii="Times New Roman" w:hAnsi="Times New Roman" w:cs="Times New Roman"/>
        </w:rPr>
      </w:pPr>
      <w:r w:rsidRPr="00FB5922">
        <w:rPr>
          <w:rFonts w:ascii="Times New Roman" w:hAnsi="Times New Roman" w:cs="Times New Roman"/>
        </w:rPr>
        <w:t>RUR synliggörs inte i resultaträkningen utan i den till bokföringen sidoordnade balanskravsutredningen. I balansräkningen specificeras RUR som en delpost av det egna kapitalet</w:t>
      </w:r>
      <w:r w:rsidR="00FE35F8" w:rsidRPr="00FB5922">
        <w:rPr>
          <w:rFonts w:ascii="Times New Roman" w:hAnsi="Times New Roman" w:cs="Times New Roman"/>
        </w:rPr>
        <w:t>.</w:t>
      </w:r>
      <w:r w:rsidRPr="00FB5922">
        <w:rPr>
          <w:rFonts w:ascii="Times New Roman" w:hAnsi="Times New Roman" w:cs="Times New Roman"/>
        </w:rPr>
        <w:t xml:space="preserve"> </w:t>
      </w:r>
    </w:p>
    <w:p w14:paraId="73F76B88" w14:textId="77777777" w:rsidR="004D7758" w:rsidRDefault="004D7758" w:rsidP="004D7758">
      <w:pPr>
        <w:pStyle w:val="Rubrik3"/>
      </w:pPr>
      <w:r w:rsidRPr="004D7758">
        <w:t xml:space="preserve">Rådet för kommunal redovisning (RKR) </w:t>
      </w:r>
    </w:p>
    <w:p w14:paraId="16E53E3C" w14:textId="73889641" w:rsidR="00FE35F8" w:rsidRPr="00FB5922" w:rsidRDefault="00FE35F8" w:rsidP="00FB5922">
      <w:pPr>
        <w:spacing w:before="240" w:after="80"/>
        <w:rPr>
          <w:rFonts w:ascii="Times New Roman" w:hAnsi="Times New Roman" w:cs="Times New Roman"/>
        </w:rPr>
      </w:pPr>
      <w:r w:rsidRPr="00FB5922">
        <w:rPr>
          <w:rFonts w:ascii="Times New Roman" w:hAnsi="Times New Roman" w:cs="Times New Roman"/>
        </w:rPr>
        <w:t>RKR har lämnat rekommendation angående innehållet och utformningen av förvaltningsberättelsen som en följd av ändringarna i lagen om kommunal bokföring och redovisning. Rekommendationen visar bl</w:t>
      </w:r>
      <w:r w:rsidR="00FB5922">
        <w:rPr>
          <w:rFonts w:ascii="Times New Roman" w:hAnsi="Times New Roman" w:cs="Times New Roman"/>
        </w:rPr>
        <w:t>and</w:t>
      </w:r>
      <w:r w:rsidRPr="00FB5922">
        <w:rPr>
          <w:rFonts w:ascii="Times New Roman" w:hAnsi="Times New Roman" w:cs="Times New Roman"/>
        </w:rPr>
        <w:t xml:space="preserve"> a</w:t>
      </w:r>
      <w:r w:rsidR="00FB5922">
        <w:rPr>
          <w:rFonts w:ascii="Times New Roman" w:hAnsi="Times New Roman" w:cs="Times New Roman"/>
        </w:rPr>
        <w:t>nnat</w:t>
      </w:r>
      <w:r w:rsidRPr="00FB5922">
        <w:rPr>
          <w:rFonts w:ascii="Times New Roman" w:hAnsi="Times New Roman" w:cs="Times New Roman"/>
        </w:rPr>
        <w:t xml:space="preserve"> hur balanskravsresultatet ska beräknas.</w:t>
      </w:r>
    </w:p>
    <w:p w14:paraId="1AC316A4" w14:textId="77777777" w:rsidR="004D7758" w:rsidRDefault="004D7758" w:rsidP="004D7758">
      <w:pPr>
        <w:pStyle w:val="Rubrik2"/>
        <w:spacing w:before="240"/>
      </w:pPr>
      <w:r w:rsidRPr="004D7758">
        <w:t xml:space="preserve">Nuläge </w:t>
      </w:r>
    </w:p>
    <w:p w14:paraId="494863A0"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De huvudsakliga strukturerna och beståndsdelarna i nu gällande regelverk kan sammanfattas enligt följande: </w:t>
      </w:r>
    </w:p>
    <w:p w14:paraId="7922C6FD" w14:textId="77777777" w:rsidR="004D7758" w:rsidRDefault="004D7758" w:rsidP="004D7758">
      <w:pPr>
        <w:pStyle w:val="Rubrik3"/>
      </w:pPr>
      <w:r w:rsidRPr="004D7758">
        <w:t xml:space="preserve">3.1 Principen om god ekonomisk hushållning och balanskravet </w:t>
      </w:r>
    </w:p>
    <w:p w14:paraId="4638DE42"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i/>
          <w:iCs/>
        </w:rPr>
        <w:t>”Kommuner och landsting ska ha en god ekonomisk hushållning i sin verksamhet och i sådan verksamhet som bedrivs genom andra juridiska personer”</w:t>
      </w:r>
      <w:r w:rsidRPr="004D7758">
        <w:rPr>
          <w:rFonts w:ascii="Times New Roman" w:hAnsi="Times New Roman" w:cs="Times New Roman"/>
        </w:rPr>
        <w:t xml:space="preserve"> enligt kommunallagens kap 11 § 1. I samma paragraf anges numera också att fullmäktige ska besluta om riktlinjer för god ekonomisk hushållning. </w:t>
      </w:r>
    </w:p>
    <w:p w14:paraId="0EB357AE" w14:textId="30A61ED6"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Ekonomisk hushållning handlar om att styra ekonomin i både ett kortare och ett längre perspektiv. Begreppet god ekonomisk hushållning syftar huvudsakligen till att säkerställa att varje generation bär sina egna kostnader. Om kostnaderna i ett längre perspektiv överstiger intäkterna innebär det att kommande generationer får betala för denna överkonsumtion. På samma sätt bör inte dagens generation bära kostnader för kommande generationers behov. Normalt sett ska ekonomin visa på ett positivt resultat på en nivå som gör att förmögenheten inte urholkas av inflation eller för låg självfinansieringsgrad av investeringar. Målsättningen för nivåerna på exempelvis ekonomiskt resultat, skuldsättning och förmögenhet ska beslutas lokalt av varje kommun och </w:t>
      </w:r>
      <w:r w:rsidR="00E5671C">
        <w:rPr>
          <w:rFonts w:ascii="Times New Roman" w:hAnsi="Times New Roman" w:cs="Times New Roman"/>
        </w:rPr>
        <w:t>region</w:t>
      </w:r>
      <w:r w:rsidRPr="004D7758">
        <w:rPr>
          <w:rFonts w:ascii="Times New Roman" w:hAnsi="Times New Roman" w:cs="Times New Roman"/>
        </w:rPr>
        <w:t xml:space="preserve"> baserat på de egna specifika förutsättningarna.</w:t>
      </w:r>
      <w:r w:rsidR="009B7D1D">
        <w:rPr>
          <w:rFonts w:ascii="Times New Roman" w:hAnsi="Times New Roman" w:cs="Times New Roman"/>
        </w:rPr>
        <w:t xml:space="preserve"> </w:t>
      </w:r>
    </w:p>
    <w:p w14:paraId="11376F8D" w14:textId="3D47189C"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Sedan tidigare har det utvecklats en allmän inriktning att resultatöverskottet för genomsnittskommunen bör ligga på omkring 2 procent av skatteintäkter och kommunalekonomisk utjämning, exklusive jämförelsestörande poster. Under senare år har det blivit tydligt att skillnaderna mellan kommuner med avseende på ekonomiskt utgångsläge och framtida förutsättningar är stora. Till exempel har det framhållits att kommuner som ligger i en tillväxtregion, och som utifrån det har ett stort investeringsbehov, bör ha en högre resultatnivå.</w:t>
      </w:r>
    </w:p>
    <w:p w14:paraId="16BF36B0"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Balanskravet innebär att intäkterna varje år måste balansera kostnaderna. Blir resultatet negativt måste det regleras inom tre år. Fullmäktige får dock enligt kommunallagen besluta om att reglering av ett negativt balanskravsresultat inte ska göras om det finns synnerliga skäl för detta. Vägledning till vad som ska betraktas som synnerliga skäl finns i lagens förarbeten som utgår från en relativt strikt bedömning. </w:t>
      </w:r>
    </w:p>
    <w:p w14:paraId="6316653C" w14:textId="77777777" w:rsidR="00FE35F8" w:rsidRDefault="00FE35F8">
      <w:pPr>
        <w:rPr>
          <w:rFonts w:ascii="Arial" w:eastAsia="Arial" w:hAnsi="Arial" w:cs="Arial"/>
          <w:b/>
          <w:color w:val="A20000"/>
          <w:sz w:val="32"/>
        </w:rPr>
      </w:pPr>
      <w:r>
        <w:br w:type="page"/>
      </w:r>
    </w:p>
    <w:p w14:paraId="4C096F02" w14:textId="2367E058" w:rsidR="001C18F7" w:rsidRDefault="001C18F7" w:rsidP="004D7758">
      <w:pPr>
        <w:pStyle w:val="Rubrik2"/>
        <w:spacing w:before="240"/>
      </w:pPr>
      <w:r>
        <w:t>Faluns förutsättningar</w:t>
      </w:r>
    </w:p>
    <w:p w14:paraId="20F4779F" w14:textId="77777777" w:rsidR="001C18F7" w:rsidRDefault="001C18F7" w:rsidP="001C18F7">
      <w:pPr>
        <w:pStyle w:val="Rubrik3"/>
      </w:pPr>
      <w:r>
        <w:t>Omvärldsförutsättningar</w:t>
      </w:r>
    </w:p>
    <w:p w14:paraId="5D9DC4B5" w14:textId="77777777" w:rsidR="001C18F7" w:rsidRDefault="001C18F7" w:rsidP="001C18F7">
      <w:pPr>
        <w:rPr>
          <w:rFonts w:ascii="Times New Roman" w:hAnsi="Times New Roman" w:cs="Times New Roman"/>
        </w:rPr>
      </w:pPr>
      <w:r w:rsidRPr="001C18F7">
        <w:rPr>
          <w:rFonts w:ascii="Times New Roman" w:hAnsi="Times New Roman" w:cs="Times New Roman"/>
        </w:rPr>
        <w:t xml:space="preserve">Falu kommun är en attraktiv boendekommun som under en rad av år haft en stark befolkningstillväxt. Det har resulterat i fler barn i </w:t>
      </w:r>
      <w:r w:rsidR="00CC6F8F">
        <w:rPr>
          <w:rFonts w:ascii="Times New Roman" w:hAnsi="Times New Roman" w:cs="Times New Roman"/>
        </w:rPr>
        <w:t>kommunens</w:t>
      </w:r>
      <w:r w:rsidRPr="001C18F7">
        <w:rPr>
          <w:rFonts w:ascii="Times New Roman" w:hAnsi="Times New Roman" w:cs="Times New Roman"/>
        </w:rPr>
        <w:t xml:space="preserve"> förskolor och skolor, fler som arbetar och fler som föredrar att bo i Falu kommun efter pensioneringen. När befolkningen växer skapas ekonomisk tillväxt men också goda förutsättningar för kompetensförsörjning till såväl företagen som till offentlig sektor. </w:t>
      </w:r>
    </w:p>
    <w:p w14:paraId="08904B91" w14:textId="77777777" w:rsidR="001C18F7" w:rsidRDefault="001C18F7" w:rsidP="001C18F7">
      <w:pPr>
        <w:rPr>
          <w:rFonts w:ascii="Times New Roman" w:hAnsi="Times New Roman" w:cs="Times New Roman"/>
        </w:rPr>
      </w:pPr>
      <w:r w:rsidRPr="001C18F7">
        <w:rPr>
          <w:rFonts w:ascii="Times New Roman" w:hAnsi="Times New Roman" w:cs="Times New Roman"/>
        </w:rPr>
        <w:t xml:space="preserve">Investeringstakten är fortsatt mycket hög. En starkt bidragande orsak är ett åldrande fastighetsbestånd kombinerat med </w:t>
      </w:r>
      <w:r>
        <w:rPr>
          <w:rFonts w:ascii="Times New Roman" w:hAnsi="Times New Roman" w:cs="Times New Roman"/>
        </w:rPr>
        <w:t>ökade demografiska</w:t>
      </w:r>
      <w:r w:rsidRPr="001C18F7">
        <w:rPr>
          <w:rFonts w:ascii="Times New Roman" w:hAnsi="Times New Roman" w:cs="Times New Roman"/>
        </w:rPr>
        <w:t xml:space="preserve"> behov </w:t>
      </w:r>
      <w:r>
        <w:rPr>
          <w:rFonts w:ascii="Times New Roman" w:hAnsi="Times New Roman" w:cs="Times New Roman"/>
        </w:rPr>
        <w:t xml:space="preserve">både </w:t>
      </w:r>
      <w:r w:rsidRPr="001C18F7">
        <w:rPr>
          <w:rFonts w:ascii="Times New Roman" w:hAnsi="Times New Roman" w:cs="Times New Roman"/>
        </w:rPr>
        <w:t>inom förskola och skola</w:t>
      </w:r>
      <w:r>
        <w:rPr>
          <w:rFonts w:ascii="Times New Roman" w:hAnsi="Times New Roman" w:cs="Times New Roman"/>
        </w:rPr>
        <w:t xml:space="preserve"> och inom äldreomsorg.</w:t>
      </w:r>
    </w:p>
    <w:p w14:paraId="22AFBE2A" w14:textId="77777777" w:rsidR="001C18F7" w:rsidRDefault="001C18F7" w:rsidP="001C18F7">
      <w:pPr>
        <w:pStyle w:val="Rubrik3"/>
      </w:pPr>
      <w:r>
        <w:t>Finansiella förutsättningar</w:t>
      </w:r>
    </w:p>
    <w:p w14:paraId="4B1F057C" w14:textId="77777777" w:rsidR="00CC6F8F" w:rsidRDefault="00CC6F8F" w:rsidP="00CC6F8F">
      <w:pPr>
        <w:spacing w:before="240" w:after="80"/>
        <w:rPr>
          <w:rFonts w:ascii="Times New Roman" w:hAnsi="Times New Roman" w:cs="Times New Roman"/>
        </w:rPr>
      </w:pPr>
      <w:r>
        <w:rPr>
          <w:rFonts w:ascii="Times New Roman" w:hAnsi="Times New Roman" w:cs="Times New Roman"/>
        </w:rPr>
        <w:t xml:space="preserve">Utifrån Faluns förutsättningar är nedanstående delar viktiga för att uppnå god ekonomisk hushållning i ett längre perspektiv. Målsättningarna hänger ihop och är beroende av varandra. </w:t>
      </w:r>
    </w:p>
    <w:p w14:paraId="002230AE" w14:textId="77777777" w:rsidR="00CC6F8F" w:rsidRDefault="00CC6F8F" w:rsidP="00CC6F8F">
      <w:pPr>
        <w:spacing w:before="240" w:after="80"/>
        <w:rPr>
          <w:rFonts w:ascii="Times New Roman" w:hAnsi="Times New Roman" w:cs="Times New Roman"/>
        </w:rPr>
      </w:pPr>
      <w:r>
        <w:rPr>
          <w:rFonts w:ascii="Times New Roman" w:hAnsi="Times New Roman" w:cs="Times New Roman"/>
          <w:noProof/>
        </w:rPr>
        <w:drawing>
          <wp:inline distT="0" distB="0" distL="0" distR="0" wp14:anchorId="70230087" wp14:editId="09D82E1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B23364" w14:textId="77777777" w:rsidR="00CC6F8F" w:rsidRPr="00CC6F8F" w:rsidRDefault="00CC6F8F" w:rsidP="00CC6F8F"/>
    <w:p w14:paraId="616A554D" w14:textId="4E766213" w:rsidR="001C18F7" w:rsidRDefault="001C18F7" w:rsidP="001C18F7">
      <w:pPr>
        <w:rPr>
          <w:rFonts w:ascii="Times New Roman" w:hAnsi="Times New Roman" w:cs="Times New Roman"/>
        </w:rPr>
      </w:pPr>
      <w:r>
        <w:rPr>
          <w:rFonts w:ascii="Times New Roman" w:hAnsi="Times New Roman" w:cs="Times New Roman"/>
        </w:rPr>
        <w:t xml:space="preserve">Falu kommun har under 2010-talet haft positiva resultat under samtliga år, men resultaten har varierat relativt kraftigt mellan åren. Genomsnittsresultatet mellan 2010 och 2020 (prognos) uppgick till 76 mnkr vilket motsvarar </w:t>
      </w:r>
      <w:r w:rsidR="006B6541">
        <w:rPr>
          <w:rFonts w:ascii="Times New Roman" w:hAnsi="Times New Roman" w:cs="Times New Roman"/>
        </w:rPr>
        <w:t>ca</w:t>
      </w:r>
      <w:r>
        <w:rPr>
          <w:rFonts w:ascii="Times New Roman" w:hAnsi="Times New Roman" w:cs="Times New Roman"/>
        </w:rPr>
        <w:t xml:space="preserve"> 2</w:t>
      </w:r>
      <w:r w:rsidR="006B6541">
        <w:rPr>
          <w:rFonts w:ascii="Times New Roman" w:hAnsi="Times New Roman" w:cs="Times New Roman"/>
        </w:rPr>
        <w:t>,5</w:t>
      </w:r>
      <w:r w:rsidR="00FB5922">
        <w:rPr>
          <w:rFonts w:ascii="Times New Roman" w:hAnsi="Times New Roman" w:cs="Times New Roman"/>
        </w:rPr>
        <w:t xml:space="preserve"> procent</w:t>
      </w:r>
      <w:r>
        <w:rPr>
          <w:rFonts w:ascii="Times New Roman" w:hAnsi="Times New Roman" w:cs="Times New Roman"/>
        </w:rPr>
        <w:t xml:space="preserve"> av skatteintäkter och utjämning. </w:t>
      </w:r>
    </w:p>
    <w:p w14:paraId="47574842" w14:textId="0EBC122A" w:rsidR="001C18F7" w:rsidRDefault="006B6541" w:rsidP="001C18F7">
      <w:pPr>
        <w:rPr>
          <w:rFonts w:ascii="Times New Roman" w:hAnsi="Times New Roman" w:cs="Times New Roman"/>
        </w:rPr>
      </w:pPr>
      <w:r>
        <w:rPr>
          <w:noProof/>
        </w:rPr>
        <w:drawing>
          <wp:inline distT="0" distB="0" distL="0" distR="0" wp14:anchorId="2584F943" wp14:editId="339ACD01">
            <wp:extent cx="5022850" cy="3035300"/>
            <wp:effectExtent l="0" t="0" r="6350" b="12700"/>
            <wp:docPr id="7" name="Diagram 7">
              <a:extLst xmlns:a="http://schemas.openxmlformats.org/drawingml/2006/main">
                <a:ext uri="{FF2B5EF4-FFF2-40B4-BE49-F238E27FC236}">
                  <a16:creationId xmlns:a16="http://schemas.microsoft.com/office/drawing/2014/main" id="{3281E57C-D44E-461F-A191-ECC438CDE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7BEB48" w14:textId="77777777" w:rsidR="001C18F7" w:rsidRDefault="001C18F7" w:rsidP="001C18F7">
      <w:pPr>
        <w:rPr>
          <w:rFonts w:ascii="Times New Roman" w:hAnsi="Times New Roman" w:cs="Times New Roman"/>
        </w:rPr>
      </w:pPr>
    </w:p>
    <w:p w14:paraId="7EFE2B27" w14:textId="77777777" w:rsidR="001C18F7" w:rsidRDefault="001C18F7" w:rsidP="001C18F7">
      <w:pPr>
        <w:rPr>
          <w:rFonts w:ascii="Times New Roman" w:hAnsi="Times New Roman" w:cs="Times New Roman"/>
        </w:rPr>
      </w:pPr>
      <w:r>
        <w:rPr>
          <w:rFonts w:ascii="Times New Roman" w:hAnsi="Times New Roman" w:cs="Times New Roman"/>
        </w:rPr>
        <w:t>Investeringsbehoven har under samma period, 2010-2020, ökat från att 2010-2015 legat på knappt 200</w:t>
      </w:r>
      <w:r w:rsidR="00CC6F8F">
        <w:rPr>
          <w:rFonts w:ascii="Times New Roman" w:hAnsi="Times New Roman" w:cs="Times New Roman"/>
        </w:rPr>
        <w:t> </w:t>
      </w:r>
      <w:r>
        <w:rPr>
          <w:rFonts w:ascii="Times New Roman" w:hAnsi="Times New Roman" w:cs="Times New Roman"/>
        </w:rPr>
        <w:t xml:space="preserve">mnkr till knappt 400 mnkr under perioden 2016-2020. En plan för kommande femårsperiod antyder en årlig investeringsvolym om drygt 500 mnkr. De ökade investeringsbehoven innebär stora finansieringsbehov för kommunen. </w:t>
      </w:r>
    </w:p>
    <w:p w14:paraId="77CA7D10" w14:textId="60119851" w:rsidR="001C18F7" w:rsidRDefault="001C18F7" w:rsidP="001C18F7">
      <w:pPr>
        <w:rPr>
          <w:rFonts w:ascii="Times New Roman" w:hAnsi="Times New Roman" w:cs="Times New Roman"/>
        </w:rPr>
      </w:pPr>
      <w:r>
        <w:rPr>
          <w:noProof/>
        </w:rPr>
        <w:drawing>
          <wp:inline distT="0" distB="0" distL="0" distR="0" wp14:anchorId="686BE208" wp14:editId="54B78052">
            <wp:extent cx="5029200" cy="3016250"/>
            <wp:effectExtent l="0" t="0" r="0" b="12700"/>
            <wp:docPr id="4" name="Diagram 4">
              <a:extLst xmlns:a="http://schemas.openxmlformats.org/drawingml/2006/main">
                <a:ext uri="{FF2B5EF4-FFF2-40B4-BE49-F238E27FC236}">
                  <a16:creationId xmlns:a16="http://schemas.microsoft.com/office/drawing/2014/main" id="{E66D2194-5B57-4DA4-8A93-CAAE8BA0E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2CBF6E" w14:textId="77777777" w:rsidR="001C18F7" w:rsidRDefault="001C18F7" w:rsidP="001C18F7">
      <w:pPr>
        <w:rPr>
          <w:rFonts w:ascii="Times New Roman" w:hAnsi="Times New Roman" w:cs="Times New Roman"/>
        </w:rPr>
      </w:pPr>
    </w:p>
    <w:p w14:paraId="3A66DF95" w14:textId="77777777" w:rsidR="006B6541" w:rsidRDefault="006B6541">
      <w:pPr>
        <w:rPr>
          <w:rFonts w:ascii="Times New Roman" w:hAnsi="Times New Roman" w:cs="Times New Roman"/>
        </w:rPr>
      </w:pPr>
      <w:r>
        <w:rPr>
          <w:rFonts w:ascii="Times New Roman" w:hAnsi="Times New Roman" w:cs="Times New Roman"/>
        </w:rPr>
        <w:br w:type="page"/>
      </w:r>
    </w:p>
    <w:p w14:paraId="05B8B91B" w14:textId="6B87DB5B" w:rsidR="001C18F7" w:rsidRDefault="001C18F7" w:rsidP="001C18F7">
      <w:pPr>
        <w:rPr>
          <w:rFonts w:ascii="Times New Roman" w:hAnsi="Times New Roman" w:cs="Times New Roman"/>
        </w:rPr>
      </w:pPr>
      <w:r>
        <w:rPr>
          <w:rFonts w:ascii="Times New Roman" w:hAnsi="Times New Roman" w:cs="Times New Roman"/>
        </w:rPr>
        <w:t xml:space="preserve">Kommunens soliditet har förbättrats kraftigt under de senaste tio åren, tack vare relativt höga resultat kombinerat med modest investeringstakt. För att bibehålla den goda utvecklingen är det viktigt att resultatnivån och investeringstakten hänger ihop. </w:t>
      </w:r>
    </w:p>
    <w:p w14:paraId="1AA1E1A1" w14:textId="77777777" w:rsidR="001C18F7" w:rsidRDefault="001C18F7" w:rsidP="001C18F7">
      <w:pPr>
        <w:rPr>
          <w:rFonts w:ascii="Times New Roman" w:hAnsi="Times New Roman" w:cs="Times New Roman"/>
        </w:rPr>
      </w:pPr>
      <w:r>
        <w:rPr>
          <w:noProof/>
        </w:rPr>
        <w:drawing>
          <wp:inline distT="0" distB="0" distL="0" distR="0" wp14:anchorId="4A31EA2A" wp14:editId="1EC2A547">
            <wp:extent cx="4985960" cy="2644140"/>
            <wp:effectExtent l="0" t="0" r="5715" b="3810"/>
            <wp:docPr id="6" name="Diagram 6">
              <a:extLst xmlns:a="http://schemas.openxmlformats.org/drawingml/2006/main">
                <a:ext uri="{FF2B5EF4-FFF2-40B4-BE49-F238E27FC236}">
                  <a16:creationId xmlns:a16="http://schemas.microsoft.com/office/drawing/2014/main" id="{1E7A371D-F86C-4357-B92B-A43A3E6B7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59A665" w14:textId="77777777" w:rsidR="001C18F7" w:rsidRPr="001C18F7" w:rsidRDefault="001C18F7" w:rsidP="001C18F7">
      <w:pPr>
        <w:rPr>
          <w:rFonts w:ascii="Times New Roman" w:hAnsi="Times New Roman" w:cs="Times New Roman"/>
        </w:rPr>
      </w:pPr>
    </w:p>
    <w:p w14:paraId="3D51406A" w14:textId="410800CA" w:rsidR="004D7758" w:rsidRDefault="004D7758" w:rsidP="004D7758">
      <w:pPr>
        <w:pStyle w:val="Rubrik2"/>
        <w:spacing w:before="240"/>
      </w:pPr>
      <w:r w:rsidRPr="004D7758">
        <w:t xml:space="preserve">Finansiella mål samt mål och riktlinjer för verksamheten i </w:t>
      </w:r>
      <w:r w:rsidR="00E5671C">
        <w:t>Falun</w:t>
      </w:r>
      <w:r w:rsidR="009B7D1D">
        <w:t xml:space="preserve"> </w:t>
      </w:r>
    </w:p>
    <w:p w14:paraId="71210689" w14:textId="2B4F54D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Enligt kommunallagen ska kommuner och </w:t>
      </w:r>
      <w:r w:rsidR="00E5671C">
        <w:rPr>
          <w:rFonts w:ascii="Times New Roman" w:hAnsi="Times New Roman" w:cs="Times New Roman"/>
        </w:rPr>
        <w:t>regioner</w:t>
      </w:r>
      <w:r w:rsidRPr="004D7758">
        <w:rPr>
          <w:rFonts w:ascii="Times New Roman" w:hAnsi="Times New Roman" w:cs="Times New Roman"/>
        </w:rPr>
        <w:t xml:space="preserve"> i samband med budgeten ange finansiella mål som är av betydelse för god ekonomisk hushållning. Målen ska följas upp i </w:t>
      </w:r>
      <w:r w:rsidR="00FB5922" w:rsidRPr="004D7758">
        <w:rPr>
          <w:rFonts w:ascii="Times New Roman" w:hAnsi="Times New Roman" w:cs="Times New Roman"/>
        </w:rPr>
        <w:t>delår</w:t>
      </w:r>
      <w:r w:rsidR="00FB5922">
        <w:rPr>
          <w:rFonts w:ascii="Times New Roman" w:hAnsi="Times New Roman" w:cs="Times New Roman"/>
        </w:rPr>
        <w:t>srapport och</w:t>
      </w:r>
      <w:r w:rsidR="00FB5922" w:rsidRPr="004D7758">
        <w:rPr>
          <w:rFonts w:ascii="Times New Roman" w:hAnsi="Times New Roman" w:cs="Times New Roman"/>
        </w:rPr>
        <w:t xml:space="preserve"> </w:t>
      </w:r>
      <w:r w:rsidRPr="004D7758">
        <w:rPr>
          <w:rFonts w:ascii="Times New Roman" w:hAnsi="Times New Roman" w:cs="Times New Roman"/>
        </w:rPr>
        <w:t xml:space="preserve">årsredovisning och i. Revisorerna ska skriftligen göra en bedömning om resultaten i </w:t>
      </w:r>
      <w:r w:rsidR="00FB5922" w:rsidRPr="004D7758">
        <w:rPr>
          <w:rFonts w:ascii="Times New Roman" w:hAnsi="Times New Roman" w:cs="Times New Roman"/>
        </w:rPr>
        <w:t xml:space="preserve">delårs och </w:t>
      </w:r>
      <w:r w:rsidRPr="004D7758">
        <w:rPr>
          <w:rFonts w:ascii="Times New Roman" w:hAnsi="Times New Roman" w:cs="Times New Roman"/>
        </w:rPr>
        <w:t xml:space="preserve">årsbokslut är förenliga med beslutade finansiella mål. </w:t>
      </w:r>
    </w:p>
    <w:p w14:paraId="1B04A26B"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I budgeten ska finnas en plan för verksamheten där mål och riktlinjer anges som är av betydelse för god ekonomisk hushållning. Förvaltningsberättelsen ska innehålla en utvärdering av om målen och riktlinjerna har uppnåtts och följts. </w:t>
      </w:r>
    </w:p>
    <w:p w14:paraId="1BD7A509" w14:textId="56FDC6C0" w:rsidR="004D7758" w:rsidRDefault="004D7758" w:rsidP="004D7758">
      <w:pPr>
        <w:spacing w:before="240" w:after="80"/>
        <w:rPr>
          <w:rFonts w:ascii="Times New Roman" w:hAnsi="Times New Roman" w:cs="Times New Roman"/>
        </w:rPr>
      </w:pPr>
      <w:r w:rsidRPr="004D7758">
        <w:rPr>
          <w:rFonts w:ascii="Times New Roman" w:hAnsi="Times New Roman" w:cs="Times New Roman"/>
        </w:rPr>
        <w:t>För att erhålla en god hushållning förutsätts att ett systematiskt arbete sker efter den styrmodell med målstyrning och budget som fastställts av kommunfullmäktige och en förmåga att anpassa sig efter förändrade förutsättningar under året.</w:t>
      </w:r>
      <w:r w:rsidR="009B7D1D">
        <w:rPr>
          <w:rFonts w:ascii="Times New Roman" w:hAnsi="Times New Roman" w:cs="Times New Roman"/>
        </w:rPr>
        <w:t xml:space="preserve"> </w:t>
      </w:r>
    </w:p>
    <w:p w14:paraId="3AE30CA8" w14:textId="77777777" w:rsidR="009A40A3" w:rsidRDefault="009A40A3" w:rsidP="009A40A3">
      <w:pPr>
        <w:spacing w:before="240" w:after="80"/>
        <w:rPr>
          <w:rFonts w:ascii="Times New Roman" w:hAnsi="Times New Roman" w:cs="Times New Roman"/>
        </w:rPr>
      </w:pPr>
      <w:r w:rsidRPr="004D7758">
        <w:rPr>
          <w:rFonts w:ascii="Times New Roman" w:hAnsi="Times New Roman" w:cs="Times New Roman"/>
        </w:rPr>
        <w:t xml:space="preserve">Kommunens mål för god ekonomisk hushållning utrycks </w:t>
      </w:r>
      <w:r>
        <w:rPr>
          <w:rFonts w:ascii="Times New Roman" w:hAnsi="Times New Roman" w:cs="Times New Roman"/>
        </w:rPr>
        <w:t xml:space="preserve">i program för mandatperioden samt specificeras i årsplan med budget. </w:t>
      </w:r>
      <w:r w:rsidRPr="004D7758">
        <w:rPr>
          <w:rFonts w:ascii="Times New Roman" w:hAnsi="Times New Roman" w:cs="Times New Roman"/>
        </w:rPr>
        <w:t xml:space="preserve">Denna skrivelse tar utgångspunkt i de mål som har direkt inverkan på kommunens ekonomiska och finansiella mål. </w:t>
      </w:r>
    </w:p>
    <w:p w14:paraId="649FA2AA" w14:textId="77777777" w:rsidR="00A23A3A" w:rsidRDefault="00A23A3A">
      <w:pPr>
        <w:rPr>
          <w:rFonts w:ascii="Arial" w:eastAsia="Arial" w:hAnsi="Arial" w:cs="Arial"/>
          <w:b/>
          <w:i/>
          <w:sz w:val="24"/>
        </w:rPr>
      </w:pPr>
      <w:r>
        <w:br w:type="page"/>
      </w:r>
    </w:p>
    <w:p w14:paraId="33696053" w14:textId="1499A019" w:rsidR="004D7758" w:rsidRPr="004D7758" w:rsidRDefault="009A40A3" w:rsidP="004D7758">
      <w:pPr>
        <w:pStyle w:val="Rubrik3"/>
      </w:pPr>
      <w:r>
        <w:t>G</w:t>
      </w:r>
      <w:r w:rsidR="004D7758" w:rsidRPr="004D7758">
        <w:t xml:space="preserve">od ekonomisk hushållning </w:t>
      </w:r>
      <w:r>
        <w:t>för Falu kommun</w:t>
      </w:r>
    </w:p>
    <w:p w14:paraId="6CA11B14" w14:textId="77777777" w:rsidR="009A40A3" w:rsidRDefault="009A40A3" w:rsidP="004D7758">
      <w:pPr>
        <w:spacing w:before="240" w:after="80"/>
        <w:rPr>
          <w:rFonts w:ascii="Times New Roman" w:hAnsi="Times New Roman" w:cs="Times New Roman"/>
        </w:rPr>
      </w:pPr>
      <w:r>
        <w:rPr>
          <w:rFonts w:ascii="Times New Roman" w:hAnsi="Times New Roman" w:cs="Times New Roman"/>
        </w:rPr>
        <w:t>God ekonomisk hushållning handlar om att styra ekonomi och verksamhet både i ett kortare och i ett längre tidsperspektiv. Om kostnaderna i ett längre perspektiv överstiger intäkterna innebär det att kommande generationer får betala för denna överkonsumtion. Normalt sett ska ekonomi</w:t>
      </w:r>
      <w:r w:rsidR="00CC6F8F">
        <w:rPr>
          <w:rFonts w:ascii="Times New Roman" w:hAnsi="Times New Roman" w:cs="Times New Roman"/>
        </w:rPr>
        <w:t xml:space="preserve">n </w:t>
      </w:r>
      <w:r>
        <w:rPr>
          <w:rFonts w:ascii="Times New Roman" w:hAnsi="Times New Roman" w:cs="Times New Roman"/>
        </w:rPr>
        <w:t xml:space="preserve">visa på ett positivt resultat på en nivå som gör att förmögenheten inte urholkas av inflation eller av för låg självfinansieringsgrad av investeringar. </w:t>
      </w:r>
    </w:p>
    <w:p w14:paraId="7B98C0AE" w14:textId="77777777" w:rsidR="009A40A3" w:rsidRDefault="009A40A3" w:rsidP="009A40A3">
      <w:pPr>
        <w:spacing w:before="240" w:after="80"/>
        <w:rPr>
          <w:rFonts w:ascii="Times New Roman" w:hAnsi="Times New Roman" w:cs="Times New Roman"/>
        </w:rPr>
      </w:pPr>
      <w:r w:rsidRPr="004D7758">
        <w:rPr>
          <w:rFonts w:ascii="Times New Roman" w:hAnsi="Times New Roman" w:cs="Times New Roman"/>
        </w:rPr>
        <w:t xml:space="preserve">För </w:t>
      </w:r>
      <w:r>
        <w:rPr>
          <w:rFonts w:ascii="Times New Roman" w:hAnsi="Times New Roman" w:cs="Times New Roman"/>
        </w:rPr>
        <w:t>Falu</w:t>
      </w:r>
      <w:r w:rsidRPr="004D7758">
        <w:rPr>
          <w:rFonts w:ascii="Times New Roman" w:hAnsi="Times New Roman" w:cs="Times New Roman"/>
        </w:rPr>
        <w:t xml:space="preserve"> kommun innebär god ekonomisk hushållning: </w:t>
      </w:r>
    </w:p>
    <w:p w14:paraId="2E24BB23" w14:textId="77777777" w:rsidR="009A40A3" w:rsidRPr="004D7758" w:rsidRDefault="009A40A3" w:rsidP="009A40A3">
      <w:pPr>
        <w:pStyle w:val="Liststycke"/>
        <w:numPr>
          <w:ilvl w:val="0"/>
          <w:numId w:val="6"/>
        </w:numPr>
        <w:spacing w:before="240" w:after="80"/>
        <w:rPr>
          <w:rFonts w:ascii="Times New Roman" w:hAnsi="Times New Roman" w:cs="Times New Roman"/>
        </w:rPr>
      </w:pPr>
      <w:r w:rsidRPr="004D7758">
        <w:rPr>
          <w:rFonts w:ascii="Times New Roman" w:hAnsi="Times New Roman" w:cs="Times New Roman"/>
        </w:rPr>
        <w:t xml:space="preserve">Att verksamheten bedrivs effektivt, det vill säga den kommunala servicen ska infria kommuninvånarnas behov och förväntningar och dessutom bedrivas på ett kostnadseffektivt sätt. </w:t>
      </w:r>
    </w:p>
    <w:p w14:paraId="522C0528" w14:textId="77777777" w:rsidR="00CC6F8F" w:rsidRPr="00CC6F8F" w:rsidRDefault="009A40A3" w:rsidP="00CC6F8F">
      <w:pPr>
        <w:pStyle w:val="Liststycke"/>
        <w:numPr>
          <w:ilvl w:val="0"/>
          <w:numId w:val="6"/>
        </w:numPr>
        <w:spacing w:before="240" w:after="80"/>
        <w:rPr>
          <w:rFonts w:ascii="Times New Roman" w:hAnsi="Times New Roman" w:cs="Times New Roman"/>
        </w:rPr>
      </w:pPr>
      <w:r w:rsidRPr="004D7758">
        <w:rPr>
          <w:rFonts w:ascii="Times New Roman" w:hAnsi="Times New Roman" w:cs="Times New Roman"/>
        </w:rPr>
        <w:t xml:space="preserve">Att kommunens ekonomi är hållbar över tid. </w:t>
      </w:r>
      <w:r>
        <w:rPr>
          <w:rFonts w:ascii="Times New Roman" w:hAnsi="Times New Roman" w:cs="Times New Roman"/>
        </w:rPr>
        <w:t xml:space="preserve">Det är av yttersta vikt att ha en balans mellan intäkter och kostnader samt fokusera på driftkonsekvenser av investeringar och långsiktiga åtaganden. </w:t>
      </w:r>
    </w:p>
    <w:p w14:paraId="7DCEA865" w14:textId="77777777" w:rsidR="00CC6F8F" w:rsidRPr="00CC6F8F" w:rsidRDefault="00CC6F8F" w:rsidP="00CC6F8F">
      <w:pPr>
        <w:pStyle w:val="Rubrik-4"/>
      </w:pPr>
      <w:r>
        <w:t>Faluns målsättningar</w:t>
      </w:r>
    </w:p>
    <w:p w14:paraId="7C1F14DD" w14:textId="3CB66DD2" w:rsidR="001C18F7" w:rsidRDefault="001C18F7" w:rsidP="004D7758">
      <w:pPr>
        <w:spacing w:before="240" w:after="80"/>
        <w:rPr>
          <w:rFonts w:ascii="Times New Roman" w:hAnsi="Times New Roman" w:cs="Times New Roman"/>
        </w:rPr>
      </w:pPr>
      <w:r>
        <w:rPr>
          <w:rFonts w:ascii="Times New Roman" w:hAnsi="Times New Roman" w:cs="Times New Roman"/>
        </w:rPr>
        <w:t xml:space="preserve">Ett positivt resultat är en grundförutsättning för god ekonomisk hushållning. Som beskrivits i avsnittet om Nuläge, har den tidigare tolkningen om ett allmänt resultatmål om 2 </w:t>
      </w:r>
      <w:r w:rsidR="00FB5922">
        <w:rPr>
          <w:rFonts w:ascii="Times New Roman" w:hAnsi="Times New Roman" w:cs="Times New Roman"/>
        </w:rPr>
        <w:t>procent</w:t>
      </w:r>
      <w:r>
        <w:rPr>
          <w:rFonts w:ascii="Times New Roman" w:hAnsi="Times New Roman" w:cs="Times New Roman"/>
        </w:rPr>
        <w:t xml:space="preserve"> av skatteintäkter och utjämning, på senare tid nyanserats. Vid fastställande av långsiktigt hållbar resultatnivå, är det viktigt att se den egna kommunens förutsättningar. </w:t>
      </w:r>
    </w:p>
    <w:p w14:paraId="4F704AF6" w14:textId="7F05BDBD" w:rsidR="001C18F7" w:rsidRDefault="001C18F7" w:rsidP="001C18F7">
      <w:pPr>
        <w:rPr>
          <w:rFonts w:ascii="Times New Roman" w:hAnsi="Times New Roman" w:cs="Times New Roman"/>
        </w:rPr>
      </w:pPr>
      <w:r w:rsidRPr="001C18F7">
        <w:rPr>
          <w:rFonts w:ascii="Times New Roman" w:hAnsi="Times New Roman" w:cs="Times New Roman"/>
        </w:rPr>
        <w:t>En kommun med låg soliditet och hög tillväxt gör klokt i att sträva mot högre resultat för att skapa utrymme för amorteringar och behålla andel</w:t>
      </w:r>
      <w:r w:rsidR="003B68F2">
        <w:rPr>
          <w:rFonts w:ascii="Times New Roman" w:hAnsi="Times New Roman" w:cs="Times New Roman"/>
        </w:rPr>
        <w:t>en</w:t>
      </w:r>
      <w:r w:rsidRPr="001C18F7">
        <w:rPr>
          <w:rFonts w:ascii="Times New Roman" w:hAnsi="Times New Roman" w:cs="Times New Roman"/>
        </w:rPr>
        <w:t xml:space="preserve"> självfinansierade investeringar.</w:t>
      </w:r>
    </w:p>
    <w:p w14:paraId="21F88FC4" w14:textId="77777777" w:rsidR="001C18F7" w:rsidRPr="001C18F7" w:rsidRDefault="001C18F7" w:rsidP="001C18F7">
      <w:pPr>
        <w:rPr>
          <w:rFonts w:ascii="Times New Roman" w:hAnsi="Times New Roman" w:cs="Times New Roman"/>
        </w:rPr>
      </w:pPr>
      <w:r w:rsidRPr="001C18F7">
        <w:rPr>
          <w:rFonts w:ascii="Times New Roman" w:hAnsi="Times New Roman" w:cs="Times New Roman"/>
          <w:color w:val="2D2B2A"/>
        </w:rPr>
        <w:t>Självfinansieringsgraden mäter finansieringen av investeringar under ett givet år, men hur kommunens tillgångsmassa är fördelad mellan skulder och eget kapital mäts av soliditeten. Soliditeten är ett mått på långsiktig ekonomisk styrka.</w:t>
      </w:r>
      <w:r>
        <w:rPr>
          <w:rFonts w:ascii="Times New Roman" w:hAnsi="Times New Roman" w:cs="Times New Roman"/>
          <w:color w:val="2D2B2A"/>
        </w:rPr>
        <w:t xml:space="preserve"> </w:t>
      </w:r>
      <w:r w:rsidRPr="001C18F7">
        <w:rPr>
          <w:rFonts w:ascii="Times New Roman" w:hAnsi="Times New Roman" w:cs="Times New Roman"/>
          <w:color w:val="2D2B2A"/>
        </w:rPr>
        <w:t xml:space="preserve">För att </w:t>
      </w:r>
      <w:r>
        <w:rPr>
          <w:rFonts w:ascii="Times New Roman" w:hAnsi="Times New Roman" w:cs="Times New Roman"/>
          <w:color w:val="2D2B2A"/>
        </w:rPr>
        <w:t>förbättra</w:t>
      </w:r>
      <w:r w:rsidRPr="001C18F7">
        <w:rPr>
          <w:rFonts w:ascii="Times New Roman" w:hAnsi="Times New Roman" w:cs="Times New Roman"/>
          <w:color w:val="2D2B2A"/>
        </w:rPr>
        <w:t xml:space="preserve"> soliditet</w:t>
      </w:r>
      <w:r>
        <w:rPr>
          <w:rFonts w:ascii="Times New Roman" w:hAnsi="Times New Roman" w:cs="Times New Roman"/>
          <w:color w:val="2D2B2A"/>
        </w:rPr>
        <w:t>en</w:t>
      </w:r>
      <w:r w:rsidRPr="001C18F7">
        <w:rPr>
          <w:rFonts w:ascii="Times New Roman" w:hAnsi="Times New Roman" w:cs="Times New Roman"/>
          <w:color w:val="2D2B2A"/>
        </w:rPr>
        <w:t xml:space="preserve"> samtidigt som låneskulden ökar måste det egna kapitalet öka procentuellt sett </w:t>
      </w:r>
      <w:r>
        <w:rPr>
          <w:rFonts w:ascii="Times New Roman" w:hAnsi="Times New Roman" w:cs="Times New Roman"/>
          <w:color w:val="2D2B2A"/>
        </w:rPr>
        <w:t>mer än</w:t>
      </w:r>
      <w:r w:rsidRPr="001C18F7">
        <w:rPr>
          <w:rFonts w:ascii="Times New Roman" w:hAnsi="Times New Roman" w:cs="Times New Roman"/>
          <w:color w:val="2D2B2A"/>
        </w:rPr>
        <w:t xml:space="preserve"> tillgångssidan</w:t>
      </w:r>
      <w:r>
        <w:rPr>
          <w:rFonts w:ascii="Times New Roman" w:hAnsi="Times New Roman" w:cs="Times New Roman"/>
          <w:color w:val="2D2B2A"/>
        </w:rPr>
        <w:t>.</w:t>
      </w:r>
    </w:p>
    <w:p w14:paraId="57B02838" w14:textId="1A6FC5D2" w:rsidR="001C18F7" w:rsidRDefault="001C18F7" w:rsidP="001C18F7">
      <w:pPr>
        <w:rPr>
          <w:rFonts w:ascii="Times New Roman" w:hAnsi="Times New Roman" w:cs="Times New Roman"/>
        </w:rPr>
      </w:pPr>
      <w:r w:rsidRPr="001C18F7">
        <w:rPr>
          <w:rFonts w:ascii="Times New Roman" w:hAnsi="Times New Roman" w:cs="Times New Roman"/>
        </w:rPr>
        <w:t xml:space="preserve">I bokslutet för 2019 redovisar Falu kommun en soliditet på 7 </w:t>
      </w:r>
      <w:r w:rsidR="00FB5922">
        <w:rPr>
          <w:rFonts w:ascii="Times New Roman" w:hAnsi="Times New Roman" w:cs="Times New Roman"/>
        </w:rPr>
        <w:t>procent</w:t>
      </w:r>
      <w:r w:rsidRPr="001C18F7">
        <w:rPr>
          <w:rFonts w:ascii="Times New Roman" w:hAnsi="Times New Roman" w:cs="Times New Roman"/>
        </w:rPr>
        <w:t xml:space="preserve">. Trots att soliditeten har ökat de senaste åren (den låg på </w:t>
      </w:r>
      <w:r>
        <w:rPr>
          <w:rFonts w:ascii="Times New Roman" w:hAnsi="Times New Roman" w:cs="Times New Roman"/>
        </w:rPr>
        <w:t>-</w:t>
      </w:r>
      <w:r w:rsidRPr="001C18F7">
        <w:rPr>
          <w:rFonts w:ascii="Times New Roman" w:hAnsi="Times New Roman" w:cs="Times New Roman"/>
        </w:rPr>
        <w:t xml:space="preserve">35 </w:t>
      </w:r>
      <w:r w:rsidR="00FB5922">
        <w:rPr>
          <w:rFonts w:ascii="Times New Roman" w:hAnsi="Times New Roman" w:cs="Times New Roman"/>
        </w:rPr>
        <w:t>procent</w:t>
      </w:r>
      <w:r w:rsidRPr="001C18F7">
        <w:rPr>
          <w:rFonts w:ascii="Times New Roman" w:hAnsi="Times New Roman" w:cs="Times New Roman"/>
        </w:rPr>
        <w:t xml:space="preserve"> år 2013) är den låg i jämförelse med andra kommuner. Genomsnittlig soliditet inklusive pensionsåtaganden för alla Sveriges kommuner uppgick 2019 till </w:t>
      </w:r>
      <w:r>
        <w:rPr>
          <w:rFonts w:ascii="Times New Roman" w:hAnsi="Times New Roman" w:cs="Times New Roman"/>
        </w:rPr>
        <w:t>19</w:t>
      </w:r>
      <w:r w:rsidRPr="001C18F7">
        <w:rPr>
          <w:rFonts w:ascii="Times New Roman" w:hAnsi="Times New Roman" w:cs="Times New Roman"/>
        </w:rPr>
        <w:t> </w:t>
      </w:r>
      <w:r w:rsidR="00FB5922">
        <w:rPr>
          <w:rFonts w:ascii="Times New Roman" w:hAnsi="Times New Roman" w:cs="Times New Roman"/>
        </w:rPr>
        <w:t>procent</w:t>
      </w:r>
      <w:r w:rsidRPr="001C18F7">
        <w:rPr>
          <w:rFonts w:ascii="Times New Roman" w:hAnsi="Times New Roman" w:cs="Times New Roman"/>
        </w:rPr>
        <w:t xml:space="preserve"> (källa: Kolada).</w:t>
      </w:r>
    </w:p>
    <w:p w14:paraId="1C03DA44" w14:textId="3D4D295E" w:rsidR="001C18F7" w:rsidRPr="001C18F7" w:rsidRDefault="001C18F7" w:rsidP="001C18F7">
      <w:pPr>
        <w:rPr>
          <w:rFonts w:ascii="Times New Roman" w:hAnsi="Times New Roman" w:cs="Times New Roman"/>
        </w:rPr>
      </w:pPr>
      <w:r>
        <w:rPr>
          <w:rFonts w:ascii="Times New Roman" w:hAnsi="Times New Roman" w:cs="Times New Roman"/>
        </w:rPr>
        <w:t>Ovanstående resonemang medför att Falu kommun</w:t>
      </w:r>
      <w:r w:rsidR="00AB047C">
        <w:rPr>
          <w:rFonts w:ascii="Times New Roman" w:hAnsi="Times New Roman" w:cs="Times New Roman"/>
        </w:rPr>
        <w:t>s</w:t>
      </w:r>
      <w:r>
        <w:rPr>
          <w:rFonts w:ascii="Times New Roman" w:hAnsi="Times New Roman" w:cs="Times New Roman"/>
        </w:rPr>
        <w:t xml:space="preserve"> långsiktigt hållbara resultatnivå bör ligga på 3-4</w:t>
      </w:r>
      <w:r w:rsidR="00FB5922">
        <w:rPr>
          <w:rFonts w:ascii="Times New Roman" w:hAnsi="Times New Roman" w:cs="Times New Roman"/>
        </w:rPr>
        <w:t xml:space="preserve"> procent</w:t>
      </w:r>
      <w:r>
        <w:rPr>
          <w:rFonts w:ascii="Times New Roman" w:hAnsi="Times New Roman" w:cs="Times New Roman"/>
        </w:rPr>
        <w:t xml:space="preserve"> av skatteintäkter och utjämning förutsatt den höga investeringsnivån som aviseras. För att öka beredskapen är det viktigt att långsiktiga investeringsplaner tas fram. </w:t>
      </w:r>
    </w:p>
    <w:p w14:paraId="5AD92816" w14:textId="77777777" w:rsidR="001C18F7" w:rsidRDefault="001C18F7" w:rsidP="004D7758">
      <w:pPr>
        <w:spacing w:before="240" w:after="80"/>
        <w:rPr>
          <w:rFonts w:ascii="Times New Roman" w:hAnsi="Times New Roman" w:cs="Times New Roman"/>
        </w:rPr>
      </w:pPr>
    </w:p>
    <w:p w14:paraId="57E3B579" w14:textId="77777777" w:rsidR="00E5671C" w:rsidRDefault="00E5671C">
      <w:pPr>
        <w:rPr>
          <w:rFonts w:ascii="Arial" w:eastAsia="Arial" w:hAnsi="Arial" w:cs="Arial"/>
          <w:b/>
          <w:color w:val="A20000"/>
          <w:sz w:val="32"/>
        </w:rPr>
      </w:pPr>
      <w:r>
        <w:br w:type="page"/>
      </w:r>
    </w:p>
    <w:p w14:paraId="55B5C8DC" w14:textId="77777777" w:rsidR="004D7758" w:rsidRDefault="004D7758" w:rsidP="004D7758">
      <w:pPr>
        <w:pStyle w:val="Rubrik2"/>
      </w:pPr>
      <w:r w:rsidRPr="004D7758">
        <w:t xml:space="preserve">Resultatutjämningsreserv (RUR) </w:t>
      </w:r>
    </w:p>
    <w:p w14:paraId="39E77AF6"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Enligt kommunallagen (2017:725, kap 11 § 14) ges kommuner möjlighet att reservera överskott till en resultatutjämningsreserv. Medel från resultatutjämningsreserven får användas för att utjämna intäkter över en konjunkturcykel. </w:t>
      </w:r>
    </w:p>
    <w:p w14:paraId="0064FD72" w14:textId="77777777" w:rsidR="004D7758" w:rsidRDefault="004D7758" w:rsidP="004D7758">
      <w:pPr>
        <w:pStyle w:val="Rubrik3"/>
      </w:pPr>
      <w:r w:rsidRPr="004D7758">
        <w:t xml:space="preserve">Lagens syfte med RUR </w:t>
      </w:r>
    </w:p>
    <w:p w14:paraId="3D5BBC3B"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Syftet med lagstiftningen är att ge kommuner möjlighet att under vissa angivna förutsättningar reservera medel i RUR för att kunna täcka underskott vid ett senare tillfälle. På detta sätt ska kommuner kunna bygga upp reserver under goda tider för att senare kunna utnyttja reserven när skatteutvecklingen är svag. RUR är avsedd att utjämna normala svängningar i skatteunderlaget över en konjunkturcykel för att skapa större stabilitet för den kommunala verksamheten. </w:t>
      </w:r>
    </w:p>
    <w:p w14:paraId="0350F7A9"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Med RUR kan kommunen vid en tillfällig intäktsdämpning undvika kortsiktiga neddragningar av verksamheter som eventuellt senare måste byggas upp igen. RUR får inte användas för att skjuta upp lösningen av en långsiktig obalans mellan kostnader och intäkter. </w:t>
      </w:r>
    </w:p>
    <w:p w14:paraId="5439B030"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Om kommunen beslutar sig för att tillämpa reglerna om RUR måste fullmäktige, i riktlinjerna för god ekonomisk hushållning, ange hur reserven ska hanteras. Lagen anger ett antal minimiregler som ska vara uppfyllda för att man ska få göra en reservering, men därutöver finns ingen närmare precisering i lagen. Enligt författningskommentarerna bör riktlinjerna om reserveringen kopplas till resultatmål och ekonomisk ställning. </w:t>
      </w:r>
    </w:p>
    <w:p w14:paraId="4428F835" w14:textId="77777777" w:rsidR="004D7758" w:rsidRPr="004D7758" w:rsidRDefault="004D7758" w:rsidP="004D7758">
      <w:pPr>
        <w:pStyle w:val="Rubrik3"/>
      </w:pPr>
      <w:r w:rsidRPr="004D7758">
        <w:t xml:space="preserve">Lokala riktlinjer för reservering till RUR </w:t>
      </w:r>
    </w:p>
    <w:p w14:paraId="72C6E0C4" w14:textId="77777777" w:rsidR="004D7758" w:rsidRDefault="004D7758" w:rsidP="004D7758">
      <w:pPr>
        <w:pStyle w:val="Rubrik-4"/>
      </w:pPr>
      <w:r w:rsidRPr="004D7758">
        <w:t xml:space="preserve">Kommunallagens krav </w:t>
      </w:r>
    </w:p>
    <w:p w14:paraId="52A9C566"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Lagen ställer upp ett antal minimikrav för reservering. Reservering till en resultatutjämningsreserv får göras med högst ett belopp som motsvarar det lägsta av antingen den del av årets resultat eller den del av årets resultat efter balanskravsjusteringar som överstiger 1 procent av summan av skatteintäkter, generella statsbidrag och kommunalekonomisk utjämning. </w:t>
      </w:r>
    </w:p>
    <w:p w14:paraId="5606C02E"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Om kommunen har ett negativt eget kapital, inklusive ansvarsförbindelse för pensionsförpliktelser, ska gränsen för när avsättningen får ske i stället uppgå till 2 procent av summan av ovan nämnda posterna. </w:t>
      </w:r>
    </w:p>
    <w:p w14:paraId="5C0794A7"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Hur stor andel av resultatet som får sättas av till resultatutjämningsreserven bestäms alltså av kommunens eget kapital i räkenskaperna. Är det egna kapitalet negativt måste en större del av resultatet användas till att konsolidera ekonomin och får alltså inte användas i framtiden genom avsättning i RUR. </w:t>
      </w:r>
    </w:p>
    <w:p w14:paraId="29DEB2BF" w14:textId="77777777" w:rsidR="004D7758" w:rsidRDefault="004D7758" w:rsidP="004D7758">
      <w:pPr>
        <w:pStyle w:val="Rubrik-4"/>
      </w:pPr>
      <w:r w:rsidRPr="004D7758">
        <w:t xml:space="preserve">Lokal tillämpning </w:t>
      </w:r>
    </w:p>
    <w:p w14:paraId="5F7C0853" w14:textId="77777777" w:rsidR="004D7758" w:rsidRPr="004D7758" w:rsidRDefault="00E5671C" w:rsidP="004D7758">
      <w:pPr>
        <w:spacing w:before="240" w:after="80"/>
        <w:rPr>
          <w:rFonts w:ascii="Times New Roman" w:hAnsi="Times New Roman" w:cs="Times New Roman"/>
        </w:rPr>
      </w:pPr>
      <w:r>
        <w:rPr>
          <w:rFonts w:ascii="Times New Roman" w:hAnsi="Times New Roman" w:cs="Times New Roman"/>
        </w:rPr>
        <w:t>Falu</w:t>
      </w:r>
      <w:r w:rsidR="004D7758" w:rsidRPr="004D7758">
        <w:rPr>
          <w:rFonts w:ascii="Times New Roman" w:hAnsi="Times New Roman" w:cs="Times New Roman"/>
        </w:rPr>
        <w:t xml:space="preserve"> kommun har ett positivt eget kapital även efter tillägg av ansvarsförbindelser för pensionsförpliktelser. Det egna kapitalet uppgick 201</w:t>
      </w:r>
      <w:r>
        <w:rPr>
          <w:rFonts w:ascii="Times New Roman" w:hAnsi="Times New Roman" w:cs="Times New Roman"/>
        </w:rPr>
        <w:t>9</w:t>
      </w:r>
      <w:r w:rsidR="004D7758" w:rsidRPr="004D7758">
        <w:rPr>
          <w:rFonts w:ascii="Times New Roman" w:hAnsi="Times New Roman" w:cs="Times New Roman"/>
        </w:rPr>
        <w:t xml:space="preserve"> till 1 </w:t>
      </w:r>
      <w:r>
        <w:rPr>
          <w:rFonts w:ascii="Times New Roman" w:hAnsi="Times New Roman" w:cs="Times New Roman"/>
        </w:rPr>
        <w:t>487</w:t>
      </w:r>
      <w:r w:rsidR="004D7758" w:rsidRPr="004D7758">
        <w:rPr>
          <w:rFonts w:ascii="Times New Roman" w:hAnsi="Times New Roman" w:cs="Times New Roman"/>
        </w:rPr>
        <w:t xml:space="preserve"> mnkr och ansvarsförbindelsen var </w:t>
      </w:r>
      <w:r>
        <w:rPr>
          <w:rFonts w:ascii="Times New Roman" w:hAnsi="Times New Roman" w:cs="Times New Roman"/>
        </w:rPr>
        <w:t>1</w:t>
      </w:r>
      <w:r w:rsidR="00CC6F8F">
        <w:rPr>
          <w:rFonts w:ascii="Times New Roman" w:hAnsi="Times New Roman" w:cs="Times New Roman"/>
        </w:rPr>
        <w:t> </w:t>
      </w:r>
      <w:r>
        <w:rPr>
          <w:rFonts w:ascii="Times New Roman" w:hAnsi="Times New Roman" w:cs="Times New Roman"/>
        </w:rPr>
        <w:t>279</w:t>
      </w:r>
      <w:r w:rsidR="004D7758" w:rsidRPr="004D7758">
        <w:rPr>
          <w:rFonts w:ascii="Times New Roman" w:hAnsi="Times New Roman" w:cs="Times New Roman"/>
        </w:rPr>
        <w:t xml:space="preserve"> mnkr. Möjligheten är därför enligt lagen att sätta av resultat som överstiger 1 procent av skatter och utjämningsbidrag. </w:t>
      </w:r>
    </w:p>
    <w:p w14:paraId="2E4A6C2D" w14:textId="77F66FCB" w:rsidR="002F5F7A" w:rsidRDefault="002F5F7A" w:rsidP="004D7758">
      <w:pPr>
        <w:spacing w:before="240" w:after="80"/>
        <w:rPr>
          <w:rFonts w:ascii="Times New Roman" w:hAnsi="Times New Roman" w:cs="Times New Roman"/>
        </w:rPr>
      </w:pPr>
      <w:r>
        <w:rPr>
          <w:rFonts w:ascii="Times New Roman" w:hAnsi="Times New Roman" w:cs="Times New Roman"/>
        </w:rPr>
        <w:t>Hur stor avsättningen för ett enskilt år blir, bedöms vid varje årsbokslut</w:t>
      </w:r>
      <w:r w:rsidR="00FB5922">
        <w:rPr>
          <w:rFonts w:ascii="Times New Roman" w:hAnsi="Times New Roman" w:cs="Times New Roman"/>
        </w:rPr>
        <w:t>,</w:t>
      </w:r>
      <w:r>
        <w:rPr>
          <w:rFonts w:ascii="Times New Roman" w:hAnsi="Times New Roman" w:cs="Times New Roman"/>
        </w:rPr>
        <w:t xml:space="preserve"> där </w:t>
      </w:r>
      <w:r w:rsidR="00FB5922">
        <w:rPr>
          <w:rFonts w:ascii="Times New Roman" w:hAnsi="Times New Roman" w:cs="Times New Roman"/>
        </w:rPr>
        <w:t xml:space="preserve">även </w:t>
      </w:r>
      <w:r>
        <w:rPr>
          <w:rFonts w:ascii="Times New Roman" w:hAnsi="Times New Roman" w:cs="Times New Roman"/>
        </w:rPr>
        <w:t>man behöver ta hänsyn till hur stora skatteintäktsminskningar</w:t>
      </w:r>
      <w:r w:rsidR="00FB5922">
        <w:rPr>
          <w:rFonts w:ascii="Times New Roman" w:hAnsi="Times New Roman" w:cs="Times New Roman"/>
        </w:rPr>
        <w:t>na</w:t>
      </w:r>
      <w:r>
        <w:rPr>
          <w:rFonts w:ascii="Times New Roman" w:hAnsi="Times New Roman" w:cs="Times New Roman"/>
        </w:rPr>
        <w:t xml:space="preserve"> bedöm</w:t>
      </w:r>
      <w:r w:rsidR="00FB5922">
        <w:rPr>
          <w:rFonts w:ascii="Times New Roman" w:hAnsi="Times New Roman" w:cs="Times New Roman"/>
        </w:rPr>
        <w:t>s bli</w:t>
      </w:r>
      <w:r>
        <w:rPr>
          <w:rFonts w:ascii="Times New Roman" w:hAnsi="Times New Roman" w:cs="Times New Roman"/>
        </w:rPr>
        <w:t xml:space="preserve"> och vilken långsiktig konsolidering </w:t>
      </w:r>
      <w:r w:rsidR="00FB5922">
        <w:rPr>
          <w:rFonts w:ascii="Times New Roman" w:hAnsi="Times New Roman" w:cs="Times New Roman"/>
        </w:rPr>
        <w:t xml:space="preserve">som </w:t>
      </w:r>
      <w:r>
        <w:rPr>
          <w:rFonts w:ascii="Times New Roman" w:hAnsi="Times New Roman" w:cs="Times New Roman"/>
        </w:rPr>
        <w:t>behövs för att inte urholka kommunens soliditet.</w:t>
      </w:r>
    </w:p>
    <w:p w14:paraId="39D588AA" w14:textId="30304971" w:rsidR="004D7758" w:rsidRPr="004D7758" w:rsidRDefault="00AB1C59" w:rsidP="004D7758">
      <w:pPr>
        <w:spacing w:before="240" w:after="80"/>
        <w:rPr>
          <w:rFonts w:ascii="Times New Roman" w:hAnsi="Times New Roman" w:cs="Times New Roman"/>
        </w:rPr>
      </w:pPr>
      <w:r>
        <w:rPr>
          <w:rFonts w:ascii="Times New Roman" w:hAnsi="Times New Roman" w:cs="Times New Roman"/>
        </w:rPr>
        <w:t>Den totala r</w:t>
      </w:r>
      <w:r w:rsidR="004D7758" w:rsidRPr="004D7758">
        <w:rPr>
          <w:rFonts w:ascii="Times New Roman" w:hAnsi="Times New Roman" w:cs="Times New Roman"/>
        </w:rPr>
        <w:t xml:space="preserve">eserven får </w:t>
      </w:r>
      <w:r>
        <w:rPr>
          <w:rFonts w:ascii="Times New Roman" w:hAnsi="Times New Roman" w:cs="Times New Roman"/>
        </w:rPr>
        <w:t xml:space="preserve">maximalt </w:t>
      </w:r>
      <w:r w:rsidR="004D7758" w:rsidRPr="004D7758">
        <w:rPr>
          <w:rFonts w:ascii="Times New Roman" w:hAnsi="Times New Roman" w:cs="Times New Roman"/>
        </w:rPr>
        <w:t xml:space="preserve">uppgå till </w:t>
      </w:r>
      <w:r w:rsidRPr="00FB5922">
        <w:rPr>
          <w:rFonts w:ascii="Times New Roman" w:hAnsi="Times New Roman" w:cs="Times New Roman"/>
        </w:rPr>
        <w:t>5 p</w:t>
      </w:r>
      <w:r>
        <w:rPr>
          <w:rFonts w:ascii="Times New Roman" w:hAnsi="Times New Roman" w:cs="Times New Roman"/>
        </w:rPr>
        <w:t xml:space="preserve">rocent av de senaste tre årens genomsnittliga nivå på skatteintäkter och kommunalekonomisk utjämning. </w:t>
      </w:r>
      <w:r w:rsidR="004D7758" w:rsidRPr="004D7758">
        <w:rPr>
          <w:rFonts w:ascii="Times New Roman" w:hAnsi="Times New Roman" w:cs="Times New Roman"/>
        </w:rPr>
        <w:t xml:space="preserve">Reserven är tänkt att utjämna tillfälliga intäktsminskningar för att minska behovet av kraftfulla nedskärningar i verksamheten på kort sikt och utifrån detta bedöms på reservens storlek vara på en tillräcklig nivå. </w:t>
      </w:r>
    </w:p>
    <w:p w14:paraId="4FE8C2F0" w14:textId="77777777" w:rsidR="004D7758" w:rsidRPr="004D7758" w:rsidRDefault="00E5671C" w:rsidP="00E5671C">
      <w:pPr>
        <w:pStyle w:val="Rubrik3"/>
      </w:pPr>
      <w:r>
        <w:t>L</w:t>
      </w:r>
      <w:r w:rsidR="004D7758" w:rsidRPr="004D7758">
        <w:t xml:space="preserve">okala riktlinjer för disponering av RUR </w:t>
      </w:r>
    </w:p>
    <w:p w14:paraId="2F8B6195" w14:textId="77777777" w:rsidR="00E5671C" w:rsidRDefault="004D7758" w:rsidP="00E5671C">
      <w:pPr>
        <w:pStyle w:val="Rubrik-4"/>
      </w:pPr>
      <w:r w:rsidRPr="004D7758">
        <w:t xml:space="preserve">Kommunallagen </w:t>
      </w:r>
    </w:p>
    <w:p w14:paraId="112B564A"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I kommunallagen kap 11 § 14 framgår att ”Medel från en resultatutjämningsreserv får användas för att utjämna intäkter över en konjunkturcykel”. Någon närmare precisering än så görs inte i lagen. Däremot anger förarbetena att de närmare kriterierna bör beslutas på lokal nivå. </w:t>
      </w:r>
    </w:p>
    <w:p w14:paraId="469A2176"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Det är kommunen som kan bestämma när och hur disponering får göras. Men det är helt klart uttalat att disponering endast får göras för att utjämna intäkter. En annan förutsättning är att medlen från RUR ska täcka negativa resultat, dvs. att utnyttjas så mycket som krävs för att balanskravsresultatet ska bli noll. </w:t>
      </w:r>
    </w:p>
    <w:p w14:paraId="220277C6" w14:textId="77777777" w:rsidR="00E5671C" w:rsidRDefault="004D7758" w:rsidP="00E5671C">
      <w:pPr>
        <w:pStyle w:val="Rubrik-4"/>
      </w:pPr>
      <w:r w:rsidRPr="004D7758">
        <w:t xml:space="preserve">Lokal tillämpning </w:t>
      </w:r>
    </w:p>
    <w:p w14:paraId="53B99A7B" w14:textId="1A4CF173"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Syftet med RUR är att vid en tillfällig intäktsdämpning undvika kortsiktiga neddragningar av verksamheter som eventuellt senare måste byggas upp igen. Kommunens viktigaste inkomstkälla är skatte- och utjämningsintäkter. En vanlig modell för att definiera vilka år RUR får disponeras är att knyta detta till utvecklingen av det årliga underliggande skatteunderlaget för riket. Disponering får ske om det årliga värdet förväntas understiga det tioåriga genomsnittet.</w:t>
      </w:r>
    </w:p>
    <w:p w14:paraId="12683954" w14:textId="77777777" w:rsid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SKR publicerar fortlöpande tabeller som visar utfall och prognoser för skatteunderlagsutvecklingen. </w:t>
      </w:r>
    </w:p>
    <w:tbl>
      <w:tblPr>
        <w:tblStyle w:val="Oformateradtabell4"/>
        <w:tblW w:w="0" w:type="auto"/>
        <w:tblLook w:val="04E0" w:firstRow="1" w:lastRow="1" w:firstColumn="1" w:lastColumn="0" w:noHBand="0" w:noVBand="1"/>
      </w:tblPr>
      <w:tblGrid>
        <w:gridCol w:w="2552"/>
        <w:gridCol w:w="826"/>
        <w:gridCol w:w="993"/>
        <w:gridCol w:w="850"/>
        <w:gridCol w:w="851"/>
        <w:gridCol w:w="992"/>
      </w:tblGrid>
      <w:tr w:rsidR="00E5671C" w:rsidRPr="00E5671C" w14:paraId="7CD7EF84" w14:textId="77777777" w:rsidTr="00E56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36BFA6C" w14:textId="77777777" w:rsidR="00E5671C" w:rsidRPr="00E5671C" w:rsidRDefault="00E5671C" w:rsidP="004D7758">
            <w:pPr>
              <w:spacing w:before="240" w:after="80"/>
              <w:rPr>
                <w:rFonts w:ascii="Times New Roman" w:hAnsi="Times New Roman" w:cs="Times New Roman"/>
                <w:sz w:val="18"/>
                <w:szCs w:val="18"/>
              </w:rPr>
            </w:pPr>
            <w:r>
              <w:rPr>
                <w:rFonts w:ascii="Times New Roman" w:hAnsi="Times New Roman" w:cs="Times New Roman"/>
                <w:sz w:val="18"/>
                <w:szCs w:val="18"/>
              </w:rPr>
              <w:t>Förändring % per år</w:t>
            </w:r>
          </w:p>
        </w:tc>
        <w:tc>
          <w:tcPr>
            <w:tcW w:w="826" w:type="dxa"/>
          </w:tcPr>
          <w:p w14:paraId="2072CFD6" w14:textId="77777777" w:rsidR="00E5671C" w:rsidRPr="00E5671C" w:rsidRDefault="00E5671C" w:rsidP="004D7758">
            <w:pPr>
              <w:spacing w:before="240" w:after="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2020</w:t>
            </w:r>
          </w:p>
        </w:tc>
        <w:tc>
          <w:tcPr>
            <w:tcW w:w="993" w:type="dxa"/>
          </w:tcPr>
          <w:p w14:paraId="6F9C0CF8" w14:textId="77777777" w:rsidR="00E5671C" w:rsidRPr="00E5671C" w:rsidRDefault="00E5671C" w:rsidP="004D7758">
            <w:pPr>
              <w:spacing w:before="240" w:after="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2021</w:t>
            </w:r>
          </w:p>
        </w:tc>
        <w:tc>
          <w:tcPr>
            <w:tcW w:w="850" w:type="dxa"/>
          </w:tcPr>
          <w:p w14:paraId="50AA8A31" w14:textId="77777777" w:rsidR="00E5671C" w:rsidRPr="00E5671C" w:rsidRDefault="00E5671C" w:rsidP="004D7758">
            <w:pPr>
              <w:spacing w:before="240" w:after="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2022</w:t>
            </w:r>
          </w:p>
        </w:tc>
        <w:tc>
          <w:tcPr>
            <w:tcW w:w="851" w:type="dxa"/>
          </w:tcPr>
          <w:p w14:paraId="39845CA2" w14:textId="77777777" w:rsidR="00E5671C" w:rsidRPr="00E5671C" w:rsidRDefault="00E5671C" w:rsidP="004D7758">
            <w:pPr>
              <w:spacing w:before="240" w:after="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2023</w:t>
            </w:r>
          </w:p>
        </w:tc>
        <w:tc>
          <w:tcPr>
            <w:tcW w:w="992" w:type="dxa"/>
          </w:tcPr>
          <w:p w14:paraId="25E27CBC" w14:textId="77777777" w:rsidR="00E5671C" w:rsidRPr="00E5671C" w:rsidRDefault="00E5671C" w:rsidP="004D7758">
            <w:pPr>
              <w:spacing w:before="240" w:after="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2024</w:t>
            </w:r>
          </w:p>
        </w:tc>
      </w:tr>
      <w:tr w:rsidR="00E5671C" w:rsidRPr="00E5671C" w14:paraId="6FFC930D" w14:textId="77777777" w:rsidTr="00E56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30C9624" w14:textId="77777777" w:rsidR="00E5671C" w:rsidRPr="00E5671C" w:rsidRDefault="00E5671C" w:rsidP="004D7758">
            <w:pPr>
              <w:spacing w:before="240" w:after="80"/>
              <w:rPr>
                <w:rFonts w:ascii="Times New Roman" w:hAnsi="Times New Roman" w:cs="Times New Roman"/>
                <w:sz w:val="18"/>
                <w:szCs w:val="18"/>
              </w:rPr>
            </w:pPr>
            <w:r w:rsidRPr="00E5671C">
              <w:rPr>
                <w:rFonts w:ascii="Times New Roman" w:hAnsi="Times New Roman" w:cs="Times New Roman"/>
                <w:sz w:val="18"/>
                <w:szCs w:val="18"/>
              </w:rPr>
              <w:t>Snitt 10 år</w:t>
            </w:r>
          </w:p>
        </w:tc>
        <w:tc>
          <w:tcPr>
            <w:tcW w:w="826" w:type="dxa"/>
          </w:tcPr>
          <w:p w14:paraId="14E887DF" w14:textId="77777777" w:rsidR="00E5671C" w:rsidRPr="00E5671C" w:rsidRDefault="00E5671C" w:rsidP="004D7758">
            <w:pPr>
              <w:spacing w:before="24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4,0</w:t>
            </w:r>
          </w:p>
        </w:tc>
        <w:tc>
          <w:tcPr>
            <w:tcW w:w="993" w:type="dxa"/>
          </w:tcPr>
          <w:p w14:paraId="37B1309C" w14:textId="77777777" w:rsidR="00E5671C" w:rsidRPr="00E5671C" w:rsidRDefault="00E5671C" w:rsidP="004D7758">
            <w:pPr>
              <w:spacing w:before="24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4,0</w:t>
            </w:r>
          </w:p>
        </w:tc>
        <w:tc>
          <w:tcPr>
            <w:tcW w:w="850" w:type="dxa"/>
          </w:tcPr>
          <w:p w14:paraId="23A29CCD" w14:textId="77777777" w:rsidR="00E5671C" w:rsidRPr="00E5671C" w:rsidRDefault="00E5671C" w:rsidP="004D7758">
            <w:pPr>
              <w:spacing w:before="24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3,7</w:t>
            </w:r>
          </w:p>
        </w:tc>
        <w:tc>
          <w:tcPr>
            <w:tcW w:w="851" w:type="dxa"/>
          </w:tcPr>
          <w:p w14:paraId="30662CEE" w14:textId="77777777" w:rsidR="00E5671C" w:rsidRPr="00E5671C" w:rsidRDefault="00E5671C" w:rsidP="004D7758">
            <w:pPr>
              <w:spacing w:before="24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3,6</w:t>
            </w:r>
          </w:p>
        </w:tc>
        <w:tc>
          <w:tcPr>
            <w:tcW w:w="992" w:type="dxa"/>
          </w:tcPr>
          <w:p w14:paraId="5AD672BD" w14:textId="77777777" w:rsidR="00E5671C" w:rsidRPr="00E5671C" w:rsidRDefault="00E5671C" w:rsidP="004D7758">
            <w:pPr>
              <w:spacing w:before="24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3,6</w:t>
            </w:r>
          </w:p>
        </w:tc>
      </w:tr>
      <w:tr w:rsidR="00E5671C" w:rsidRPr="00E5671C" w14:paraId="3F48F372" w14:textId="77777777" w:rsidTr="00E5671C">
        <w:trPr>
          <w:trHeight w:val="441"/>
        </w:trPr>
        <w:tc>
          <w:tcPr>
            <w:cnfStyle w:val="001000000000" w:firstRow="0" w:lastRow="0" w:firstColumn="1" w:lastColumn="0" w:oddVBand="0" w:evenVBand="0" w:oddHBand="0" w:evenHBand="0" w:firstRowFirstColumn="0" w:firstRowLastColumn="0" w:lastRowFirstColumn="0" w:lastRowLastColumn="0"/>
            <w:tcW w:w="2552" w:type="dxa"/>
          </w:tcPr>
          <w:p w14:paraId="47A2441F" w14:textId="77777777" w:rsidR="00E5671C" w:rsidRPr="00E5671C" w:rsidRDefault="00E5671C" w:rsidP="004D7758">
            <w:pPr>
              <w:spacing w:before="240" w:after="80"/>
              <w:rPr>
                <w:rFonts w:ascii="Times New Roman" w:hAnsi="Times New Roman" w:cs="Times New Roman"/>
                <w:sz w:val="18"/>
                <w:szCs w:val="18"/>
              </w:rPr>
            </w:pPr>
            <w:r w:rsidRPr="00E5671C">
              <w:rPr>
                <w:rFonts w:ascii="Times New Roman" w:hAnsi="Times New Roman" w:cs="Times New Roman"/>
                <w:sz w:val="18"/>
                <w:szCs w:val="18"/>
              </w:rPr>
              <w:t>Årlig ökning</w:t>
            </w:r>
          </w:p>
        </w:tc>
        <w:tc>
          <w:tcPr>
            <w:tcW w:w="826" w:type="dxa"/>
          </w:tcPr>
          <w:p w14:paraId="371C3067" w14:textId="77777777" w:rsidR="00E5671C" w:rsidRPr="00E5671C" w:rsidRDefault="00E5671C" w:rsidP="004D7758">
            <w:pPr>
              <w:spacing w:before="24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2,5</w:t>
            </w:r>
          </w:p>
        </w:tc>
        <w:tc>
          <w:tcPr>
            <w:tcW w:w="993" w:type="dxa"/>
          </w:tcPr>
          <w:p w14:paraId="4F79C2C6" w14:textId="77777777" w:rsidR="00E5671C" w:rsidRPr="00E5671C" w:rsidRDefault="00E5671C" w:rsidP="004D7758">
            <w:pPr>
              <w:spacing w:before="24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1,8</w:t>
            </w:r>
          </w:p>
        </w:tc>
        <w:tc>
          <w:tcPr>
            <w:tcW w:w="850" w:type="dxa"/>
          </w:tcPr>
          <w:p w14:paraId="0D31FA3A" w14:textId="77777777" w:rsidR="00E5671C" w:rsidRPr="00E5671C" w:rsidRDefault="00E5671C" w:rsidP="004D7758">
            <w:pPr>
              <w:spacing w:before="24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3,5</w:t>
            </w:r>
          </w:p>
        </w:tc>
        <w:tc>
          <w:tcPr>
            <w:tcW w:w="851" w:type="dxa"/>
          </w:tcPr>
          <w:p w14:paraId="515943CF" w14:textId="77777777" w:rsidR="00E5671C" w:rsidRPr="00E5671C" w:rsidRDefault="00E5671C" w:rsidP="004D7758">
            <w:pPr>
              <w:spacing w:before="24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3,6</w:t>
            </w:r>
          </w:p>
        </w:tc>
        <w:tc>
          <w:tcPr>
            <w:tcW w:w="992" w:type="dxa"/>
          </w:tcPr>
          <w:p w14:paraId="688B33A3" w14:textId="77777777" w:rsidR="00E5671C" w:rsidRPr="00E5671C" w:rsidRDefault="00E5671C" w:rsidP="004D7758">
            <w:pPr>
              <w:spacing w:before="24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671C">
              <w:rPr>
                <w:rFonts w:ascii="Times New Roman" w:hAnsi="Times New Roman" w:cs="Times New Roman"/>
                <w:sz w:val="18"/>
                <w:szCs w:val="18"/>
              </w:rPr>
              <w:t>3,5</w:t>
            </w:r>
          </w:p>
        </w:tc>
      </w:tr>
      <w:tr w:rsidR="00E5671C" w:rsidRPr="00E5671C" w14:paraId="170D7730" w14:textId="77777777" w:rsidTr="00E5671C">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52" w:type="dxa"/>
          </w:tcPr>
          <w:p w14:paraId="6CB02039" w14:textId="77777777" w:rsidR="00E5671C" w:rsidRPr="00E5671C" w:rsidRDefault="00E5671C" w:rsidP="004D7758">
            <w:pPr>
              <w:spacing w:before="240" w:after="80"/>
              <w:rPr>
                <w:rFonts w:ascii="Times New Roman" w:hAnsi="Times New Roman" w:cs="Times New Roman"/>
                <w:sz w:val="20"/>
                <w:szCs w:val="20"/>
              </w:rPr>
            </w:pPr>
            <w:r w:rsidRPr="00E5671C">
              <w:rPr>
                <w:rFonts w:ascii="Times New Roman" w:hAnsi="Times New Roman" w:cs="Times New Roman"/>
                <w:sz w:val="20"/>
                <w:szCs w:val="20"/>
              </w:rPr>
              <w:t>Differens</w:t>
            </w:r>
          </w:p>
        </w:tc>
        <w:tc>
          <w:tcPr>
            <w:tcW w:w="826" w:type="dxa"/>
          </w:tcPr>
          <w:p w14:paraId="3BD1134F" w14:textId="77777777" w:rsidR="00E5671C" w:rsidRPr="00CC6F8F" w:rsidRDefault="00E5671C" w:rsidP="004D7758">
            <w:pPr>
              <w:spacing w:before="240" w:after="8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CC6F8F">
              <w:rPr>
                <w:rFonts w:ascii="Times New Roman" w:hAnsi="Times New Roman" w:cs="Times New Roman"/>
                <w:color w:val="FF0000"/>
                <w:sz w:val="20"/>
                <w:szCs w:val="20"/>
              </w:rPr>
              <w:t>-1,5</w:t>
            </w:r>
          </w:p>
        </w:tc>
        <w:tc>
          <w:tcPr>
            <w:tcW w:w="993" w:type="dxa"/>
          </w:tcPr>
          <w:p w14:paraId="5EDE870D" w14:textId="77777777" w:rsidR="00E5671C" w:rsidRPr="00CC6F8F" w:rsidRDefault="00E5671C" w:rsidP="004D7758">
            <w:pPr>
              <w:spacing w:before="240" w:after="8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CC6F8F">
              <w:rPr>
                <w:rFonts w:ascii="Times New Roman" w:hAnsi="Times New Roman" w:cs="Times New Roman"/>
                <w:color w:val="FF0000"/>
                <w:sz w:val="20"/>
                <w:szCs w:val="20"/>
              </w:rPr>
              <w:t>-2,2</w:t>
            </w:r>
          </w:p>
        </w:tc>
        <w:tc>
          <w:tcPr>
            <w:tcW w:w="850" w:type="dxa"/>
          </w:tcPr>
          <w:p w14:paraId="19EFF742" w14:textId="77777777" w:rsidR="00E5671C" w:rsidRPr="00CC6F8F" w:rsidRDefault="00E5671C" w:rsidP="004D7758">
            <w:pPr>
              <w:spacing w:before="240" w:after="8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CC6F8F">
              <w:rPr>
                <w:rFonts w:ascii="Times New Roman" w:hAnsi="Times New Roman" w:cs="Times New Roman"/>
                <w:color w:val="FF0000"/>
                <w:sz w:val="20"/>
                <w:szCs w:val="20"/>
              </w:rPr>
              <w:t>-0,2</w:t>
            </w:r>
          </w:p>
        </w:tc>
        <w:tc>
          <w:tcPr>
            <w:tcW w:w="851" w:type="dxa"/>
          </w:tcPr>
          <w:p w14:paraId="25ED6A48" w14:textId="77777777" w:rsidR="00E5671C" w:rsidRPr="00CC6F8F" w:rsidRDefault="00E5671C" w:rsidP="004D7758">
            <w:pPr>
              <w:spacing w:before="240" w:after="8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CC6F8F">
              <w:rPr>
                <w:rFonts w:ascii="Times New Roman" w:hAnsi="Times New Roman" w:cs="Times New Roman"/>
                <w:color w:val="FF0000"/>
                <w:sz w:val="20"/>
                <w:szCs w:val="20"/>
              </w:rPr>
              <w:t>-0,1</w:t>
            </w:r>
          </w:p>
        </w:tc>
        <w:tc>
          <w:tcPr>
            <w:tcW w:w="992" w:type="dxa"/>
          </w:tcPr>
          <w:p w14:paraId="201314B0" w14:textId="77777777" w:rsidR="00E5671C" w:rsidRPr="00CC6F8F" w:rsidRDefault="00E5671C" w:rsidP="004D7758">
            <w:pPr>
              <w:spacing w:before="240" w:after="8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CC6F8F">
              <w:rPr>
                <w:rFonts w:ascii="Times New Roman" w:hAnsi="Times New Roman" w:cs="Times New Roman"/>
                <w:color w:val="FF0000"/>
                <w:sz w:val="20"/>
                <w:szCs w:val="20"/>
              </w:rPr>
              <w:t>-0,1</w:t>
            </w:r>
          </w:p>
        </w:tc>
      </w:tr>
    </w:tbl>
    <w:p w14:paraId="7AA21858" w14:textId="77777777" w:rsidR="004D7758" w:rsidRPr="00E5671C" w:rsidRDefault="004D7758" w:rsidP="004D7758">
      <w:pPr>
        <w:spacing w:before="240" w:after="80"/>
        <w:rPr>
          <w:rFonts w:ascii="Times New Roman" w:hAnsi="Times New Roman" w:cs="Times New Roman"/>
          <w:i/>
          <w:iCs/>
          <w:sz w:val="20"/>
          <w:szCs w:val="20"/>
        </w:rPr>
      </w:pPr>
      <w:r w:rsidRPr="00E5671C">
        <w:rPr>
          <w:rFonts w:ascii="Times New Roman" w:hAnsi="Times New Roman" w:cs="Times New Roman"/>
          <w:i/>
          <w:iCs/>
          <w:sz w:val="20"/>
          <w:szCs w:val="20"/>
        </w:rPr>
        <w:t>Tabellen ovan är hämtat ur SKR:s cirkulär 20:</w:t>
      </w:r>
      <w:r w:rsidR="00E5671C" w:rsidRPr="00E5671C">
        <w:rPr>
          <w:rFonts w:ascii="Times New Roman" w:hAnsi="Times New Roman" w:cs="Times New Roman"/>
          <w:i/>
          <w:iCs/>
          <w:sz w:val="20"/>
          <w:szCs w:val="20"/>
        </w:rPr>
        <w:t>39</w:t>
      </w:r>
      <w:r w:rsidRPr="00E5671C">
        <w:rPr>
          <w:rFonts w:ascii="Times New Roman" w:hAnsi="Times New Roman" w:cs="Times New Roman"/>
          <w:i/>
          <w:iCs/>
          <w:sz w:val="20"/>
          <w:szCs w:val="20"/>
        </w:rPr>
        <w:t xml:space="preserve"> Budgetförutsättningar för åren 2020-2023 daterat 2020-</w:t>
      </w:r>
      <w:r w:rsidR="00E5671C" w:rsidRPr="00E5671C">
        <w:rPr>
          <w:rFonts w:ascii="Times New Roman" w:hAnsi="Times New Roman" w:cs="Times New Roman"/>
          <w:i/>
          <w:iCs/>
          <w:sz w:val="20"/>
          <w:szCs w:val="20"/>
        </w:rPr>
        <w:t>10-01</w:t>
      </w:r>
      <w:r w:rsidRPr="00E5671C">
        <w:rPr>
          <w:rFonts w:ascii="Times New Roman" w:hAnsi="Times New Roman" w:cs="Times New Roman"/>
          <w:i/>
          <w:iCs/>
          <w:sz w:val="20"/>
          <w:szCs w:val="20"/>
        </w:rPr>
        <w:t xml:space="preserve"> </w:t>
      </w:r>
    </w:p>
    <w:p w14:paraId="378CD2BE" w14:textId="77777777" w:rsid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Med detta kriterium skulle det vara möjligt att nyttja RUR </w:t>
      </w:r>
      <w:r w:rsidR="00E5671C">
        <w:rPr>
          <w:rFonts w:ascii="Times New Roman" w:hAnsi="Times New Roman" w:cs="Times New Roman"/>
        </w:rPr>
        <w:t xml:space="preserve">under samtliga år under perioden </w:t>
      </w:r>
      <w:r w:rsidRPr="004D7758">
        <w:rPr>
          <w:rFonts w:ascii="Times New Roman" w:hAnsi="Times New Roman" w:cs="Times New Roman"/>
        </w:rPr>
        <w:t>2020-2023 då skillnaden är negativ dessa år.</w:t>
      </w:r>
    </w:p>
    <w:p w14:paraId="307D96B8" w14:textId="1EACF52D"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I de lokala riktlinjerna kan också regler finnas om hur mycket av reserven som får användas under ett enskilt år. Högst </w:t>
      </w:r>
      <w:r w:rsidR="00AB1C59" w:rsidRPr="00FB5922">
        <w:rPr>
          <w:rFonts w:ascii="Times New Roman" w:hAnsi="Times New Roman" w:cs="Times New Roman"/>
        </w:rPr>
        <w:t>60</w:t>
      </w:r>
      <w:r w:rsidRPr="00FB5922">
        <w:rPr>
          <w:rFonts w:ascii="Times New Roman" w:hAnsi="Times New Roman" w:cs="Times New Roman"/>
        </w:rPr>
        <w:t xml:space="preserve"> </w:t>
      </w:r>
      <w:r w:rsidR="00FB5922">
        <w:rPr>
          <w:rFonts w:ascii="Times New Roman" w:hAnsi="Times New Roman" w:cs="Times New Roman"/>
        </w:rPr>
        <w:t>procent</w:t>
      </w:r>
      <w:r w:rsidRPr="004D7758">
        <w:rPr>
          <w:rFonts w:ascii="Times New Roman" w:hAnsi="Times New Roman" w:cs="Times New Roman"/>
        </w:rPr>
        <w:t xml:space="preserve"> av reserven får användas under ett enskilt år. Om reserven är under </w:t>
      </w:r>
      <w:r w:rsidRPr="00FB5922">
        <w:rPr>
          <w:rFonts w:ascii="Times New Roman" w:hAnsi="Times New Roman" w:cs="Times New Roman"/>
        </w:rPr>
        <w:t>50</w:t>
      </w:r>
      <w:r w:rsidR="00FB5922">
        <w:rPr>
          <w:rFonts w:ascii="Times New Roman" w:hAnsi="Times New Roman" w:cs="Times New Roman"/>
        </w:rPr>
        <w:t> </w:t>
      </w:r>
      <w:r w:rsidRPr="004D7758">
        <w:rPr>
          <w:rFonts w:ascii="Times New Roman" w:hAnsi="Times New Roman" w:cs="Times New Roman"/>
        </w:rPr>
        <w:t xml:space="preserve">mnkr får hela reserven användas under ett år. </w:t>
      </w:r>
    </w:p>
    <w:p w14:paraId="2C98F45C" w14:textId="77777777" w:rsidR="00AB047C" w:rsidRDefault="00AB047C">
      <w:pPr>
        <w:rPr>
          <w:rFonts w:ascii="Arial" w:eastAsia="Arial" w:hAnsi="Arial" w:cs="Arial"/>
          <w:b/>
          <w:i/>
          <w:sz w:val="24"/>
        </w:rPr>
      </w:pPr>
      <w:r>
        <w:br w:type="page"/>
      </w:r>
    </w:p>
    <w:p w14:paraId="02E3434B" w14:textId="77777777" w:rsidR="004D7758" w:rsidRPr="004D7758" w:rsidRDefault="004D7758" w:rsidP="004D7758">
      <w:pPr>
        <w:pStyle w:val="Rubrik3"/>
      </w:pPr>
      <w:r w:rsidRPr="004D7758">
        <w:t xml:space="preserve">Budget och tillämpning av RUR under löpande år </w:t>
      </w:r>
    </w:p>
    <w:p w14:paraId="63994DDD" w14:textId="77777777" w:rsidR="004D7758" w:rsidRDefault="00E5671C" w:rsidP="004D7758">
      <w:pPr>
        <w:pStyle w:val="Rubrik-4"/>
      </w:pPr>
      <w:r>
        <w:t>Årsplan med budget</w:t>
      </w:r>
    </w:p>
    <w:p w14:paraId="0B4D0B48"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Besluten om att reservera till respektive använda medel från RUR bör i första hand fattas i samband med besluten om budgeten. I budgeten bör en balanskravsutredning presenteras. </w:t>
      </w:r>
    </w:p>
    <w:p w14:paraId="25B6742B" w14:textId="4954353A" w:rsidR="004D7758" w:rsidRDefault="004D7758" w:rsidP="004D7758">
      <w:pPr>
        <w:pStyle w:val="Rubrik-4"/>
      </w:pPr>
      <w:r w:rsidRPr="004D7758">
        <w:t>Delårs</w:t>
      </w:r>
      <w:r w:rsidR="00FB5922">
        <w:t>rapport</w:t>
      </w:r>
      <w:r w:rsidRPr="004D7758">
        <w:t xml:space="preserve"> </w:t>
      </w:r>
    </w:p>
    <w:p w14:paraId="63935323" w14:textId="355E3BAA"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I samband med behandling av delårs</w:t>
      </w:r>
      <w:r w:rsidR="00FB5922">
        <w:rPr>
          <w:rFonts w:ascii="Times New Roman" w:hAnsi="Times New Roman" w:cs="Times New Roman"/>
        </w:rPr>
        <w:t>rapport</w:t>
      </w:r>
      <w:r w:rsidRPr="004D7758">
        <w:rPr>
          <w:rFonts w:ascii="Times New Roman" w:hAnsi="Times New Roman" w:cs="Times New Roman"/>
        </w:rPr>
        <w:t xml:space="preserve"> kan beslut om omprövning av reservering respektive disponering göras. </w:t>
      </w:r>
    </w:p>
    <w:p w14:paraId="25E9446D" w14:textId="77777777" w:rsidR="004D7758" w:rsidRDefault="004D7758" w:rsidP="004D7758">
      <w:pPr>
        <w:pStyle w:val="Rubrik-4"/>
      </w:pPr>
      <w:r w:rsidRPr="004D7758">
        <w:t xml:space="preserve">Årsredovisning </w:t>
      </w:r>
    </w:p>
    <w:p w14:paraId="00F2D3DB"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I förvaltningsberättelsen ska en balanskravsutredning göras som bl.a. utvisar ”Årets resultat efter balanskravsjusteringar”. Av balanskravsutredningen ska även förändringar av RUR framgå. Slutligt beslut om reservering till respektive disponering av RUR görs av kommunfullmäktige vid fastställande av årsredovisningen </w:t>
      </w:r>
    </w:p>
    <w:p w14:paraId="7EB62C41" w14:textId="77777777" w:rsidR="004D7758" w:rsidRDefault="004D7758" w:rsidP="004D7758">
      <w:pPr>
        <w:pStyle w:val="Rubrik3"/>
      </w:pPr>
      <w:r w:rsidRPr="004D7758">
        <w:t xml:space="preserve">Införande av RUR och övergångsbestämmelser </w:t>
      </w:r>
    </w:p>
    <w:p w14:paraId="2DCCC68E" w14:textId="77777777" w:rsidR="004D7758" w:rsidRPr="004D7758" w:rsidRDefault="004D7758" w:rsidP="004D7758">
      <w:pPr>
        <w:spacing w:before="240" w:after="80"/>
        <w:rPr>
          <w:rFonts w:ascii="Times New Roman" w:hAnsi="Times New Roman" w:cs="Times New Roman"/>
        </w:rPr>
      </w:pPr>
      <w:bookmarkStart w:id="1" w:name="_Hlk56519919"/>
      <w:r w:rsidRPr="004D7758">
        <w:rPr>
          <w:rFonts w:ascii="Times New Roman" w:hAnsi="Times New Roman" w:cs="Times New Roman"/>
        </w:rPr>
        <w:t xml:space="preserve">Införandet av RUR får ingen omedelbar effekt på kommunens ekonomi och förutsättningarna att klara balanskravet. Det kommer att ta viss tid att bygga upp en reserv som på något reellt sätt skulle kunna användas för att möta vikande skatteintäkter. Kommunen inrättar därför resultatutjämningsreserv. Reglerna för en resultatutjämningsreserv ger en stadga över tiden för hur de framtida resultaten ska hanteras, och ger ett stöd till den ekonomiska styrningen. </w:t>
      </w:r>
    </w:p>
    <w:bookmarkEnd w:id="1"/>
    <w:p w14:paraId="23EA0E3A"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Nedanstående regler gäller för resultatutjämningsreserven (RUR). </w:t>
      </w:r>
    </w:p>
    <w:p w14:paraId="65309C56"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 </w:t>
      </w:r>
    </w:p>
    <w:p w14:paraId="1D34E96C" w14:textId="77777777" w:rsidR="00BE0D07" w:rsidRDefault="00BE0D07">
      <w:pPr>
        <w:rPr>
          <w:rFonts w:ascii="Arial" w:eastAsia="Arial" w:hAnsi="Arial" w:cs="Arial"/>
          <w:b/>
          <w:color w:val="A20000"/>
          <w:sz w:val="32"/>
        </w:rPr>
      </w:pPr>
      <w:r>
        <w:br w:type="page"/>
      </w:r>
    </w:p>
    <w:p w14:paraId="14EA8435" w14:textId="6ECBD846" w:rsidR="004D7758" w:rsidRDefault="004D7758" w:rsidP="004D7758">
      <w:pPr>
        <w:pStyle w:val="Rubrik2"/>
      </w:pPr>
      <w:r w:rsidRPr="004D7758">
        <w:t xml:space="preserve">Riktlinjer för RUR i </w:t>
      </w:r>
      <w:r w:rsidR="00E5671C">
        <w:t>Falu</w:t>
      </w:r>
      <w:r w:rsidRPr="004D7758">
        <w:t xml:space="preserve"> kommun </w:t>
      </w:r>
    </w:p>
    <w:p w14:paraId="03DEAD7D" w14:textId="77777777" w:rsidR="004D7758" w:rsidRPr="004D7758" w:rsidRDefault="004D7758" w:rsidP="00E5671C">
      <w:pPr>
        <w:pStyle w:val="Liststycke"/>
        <w:numPr>
          <w:ilvl w:val="0"/>
          <w:numId w:val="6"/>
        </w:numPr>
        <w:spacing w:before="240" w:after="80" w:line="276" w:lineRule="auto"/>
        <w:rPr>
          <w:rFonts w:ascii="Times New Roman" w:hAnsi="Times New Roman" w:cs="Times New Roman"/>
        </w:rPr>
      </w:pPr>
      <w:r w:rsidRPr="004D7758">
        <w:rPr>
          <w:rFonts w:ascii="Times New Roman" w:hAnsi="Times New Roman" w:cs="Times New Roman"/>
        </w:rPr>
        <w:t>En RUR införs från och med 20</w:t>
      </w:r>
      <w:r w:rsidR="00E5671C">
        <w:rPr>
          <w:rFonts w:ascii="Times New Roman" w:hAnsi="Times New Roman" w:cs="Times New Roman"/>
        </w:rPr>
        <w:t>20</w:t>
      </w:r>
      <w:r w:rsidRPr="004D7758">
        <w:rPr>
          <w:rFonts w:ascii="Times New Roman" w:hAnsi="Times New Roman" w:cs="Times New Roman"/>
        </w:rPr>
        <w:t xml:space="preserve"> med tillämpning från 20</w:t>
      </w:r>
      <w:r w:rsidR="00E5671C">
        <w:rPr>
          <w:rFonts w:ascii="Times New Roman" w:hAnsi="Times New Roman" w:cs="Times New Roman"/>
        </w:rPr>
        <w:t>20</w:t>
      </w:r>
      <w:r w:rsidRPr="004D7758">
        <w:rPr>
          <w:rFonts w:ascii="Times New Roman" w:hAnsi="Times New Roman" w:cs="Times New Roman"/>
        </w:rPr>
        <w:t xml:space="preserve"> års bokslut. </w:t>
      </w:r>
    </w:p>
    <w:p w14:paraId="10B24BC9" w14:textId="77777777" w:rsidR="004D7758" w:rsidRPr="004D7758" w:rsidRDefault="004D7758" w:rsidP="00E5671C">
      <w:pPr>
        <w:pStyle w:val="Liststycke"/>
        <w:numPr>
          <w:ilvl w:val="0"/>
          <w:numId w:val="6"/>
        </w:numPr>
        <w:spacing w:before="240" w:after="80" w:line="276" w:lineRule="auto"/>
        <w:rPr>
          <w:rFonts w:ascii="Times New Roman" w:hAnsi="Times New Roman" w:cs="Times New Roman"/>
        </w:rPr>
      </w:pPr>
      <w:r w:rsidRPr="004D7758">
        <w:rPr>
          <w:rFonts w:ascii="Times New Roman" w:hAnsi="Times New Roman" w:cs="Times New Roman"/>
        </w:rPr>
        <w:t xml:space="preserve">Syftet med RUR är att utjämna svängningar i intäkterna för att skapa större stabilitet i verksamhetens ekonomiska förutsättningar </w:t>
      </w:r>
    </w:p>
    <w:p w14:paraId="23121A6A" w14:textId="77777777" w:rsidR="004D7758" w:rsidRPr="004D7758" w:rsidRDefault="004D7758" w:rsidP="00E5671C">
      <w:pPr>
        <w:pStyle w:val="Liststycke"/>
        <w:numPr>
          <w:ilvl w:val="0"/>
          <w:numId w:val="6"/>
        </w:numPr>
        <w:spacing w:before="240" w:after="80" w:line="276" w:lineRule="auto"/>
        <w:rPr>
          <w:rFonts w:ascii="Times New Roman" w:hAnsi="Times New Roman" w:cs="Times New Roman"/>
        </w:rPr>
      </w:pPr>
      <w:r w:rsidRPr="004D7758">
        <w:rPr>
          <w:rFonts w:ascii="Times New Roman" w:hAnsi="Times New Roman" w:cs="Times New Roman"/>
        </w:rPr>
        <w:t xml:space="preserve">Kommunfullmäktige fattar beslut om belopp för reserveringar till RUR i samband med årsredovisningen </w:t>
      </w:r>
    </w:p>
    <w:p w14:paraId="088C176C" w14:textId="77777777" w:rsidR="004D7758" w:rsidRPr="004D7758" w:rsidRDefault="004D7758" w:rsidP="00E5671C">
      <w:pPr>
        <w:pStyle w:val="Liststycke"/>
        <w:numPr>
          <w:ilvl w:val="0"/>
          <w:numId w:val="6"/>
        </w:numPr>
        <w:spacing w:before="240" w:after="80" w:line="276" w:lineRule="auto"/>
        <w:rPr>
          <w:rFonts w:ascii="Times New Roman" w:hAnsi="Times New Roman" w:cs="Times New Roman"/>
        </w:rPr>
      </w:pPr>
      <w:r w:rsidRPr="004D7758">
        <w:rPr>
          <w:rFonts w:ascii="Times New Roman" w:hAnsi="Times New Roman" w:cs="Times New Roman"/>
        </w:rPr>
        <w:t xml:space="preserve">Reserveringar av positiva resultat får göras av balanskravsresultatet i enlighet med det vid tillfället bästa alternativ som lagen medger. </w:t>
      </w:r>
    </w:p>
    <w:p w14:paraId="016B4595" w14:textId="0B224469" w:rsidR="004D7758" w:rsidRPr="004D7758" w:rsidRDefault="00AB1C59" w:rsidP="00E5671C">
      <w:pPr>
        <w:pStyle w:val="Liststycke"/>
        <w:numPr>
          <w:ilvl w:val="0"/>
          <w:numId w:val="9"/>
        </w:numPr>
        <w:spacing w:before="240" w:after="80" w:line="276" w:lineRule="auto"/>
        <w:rPr>
          <w:rFonts w:ascii="Times New Roman" w:hAnsi="Times New Roman" w:cs="Times New Roman"/>
        </w:rPr>
      </w:pPr>
      <w:r>
        <w:rPr>
          <w:rFonts w:ascii="Times New Roman" w:hAnsi="Times New Roman" w:cs="Times New Roman"/>
        </w:rPr>
        <w:t>Den totala r</w:t>
      </w:r>
      <w:r w:rsidRPr="004D7758">
        <w:rPr>
          <w:rFonts w:ascii="Times New Roman" w:hAnsi="Times New Roman" w:cs="Times New Roman"/>
        </w:rPr>
        <w:t xml:space="preserve">eserven får </w:t>
      </w:r>
      <w:r>
        <w:rPr>
          <w:rFonts w:ascii="Times New Roman" w:hAnsi="Times New Roman" w:cs="Times New Roman"/>
        </w:rPr>
        <w:t xml:space="preserve">maximalt </w:t>
      </w:r>
      <w:r w:rsidRPr="004D7758">
        <w:rPr>
          <w:rFonts w:ascii="Times New Roman" w:hAnsi="Times New Roman" w:cs="Times New Roman"/>
        </w:rPr>
        <w:t xml:space="preserve">uppgå </w:t>
      </w:r>
      <w:r w:rsidRPr="00FB5922">
        <w:rPr>
          <w:rFonts w:ascii="Times New Roman" w:hAnsi="Times New Roman" w:cs="Times New Roman"/>
        </w:rPr>
        <w:t>till 5</w:t>
      </w:r>
      <w:r>
        <w:rPr>
          <w:rFonts w:ascii="Times New Roman" w:hAnsi="Times New Roman" w:cs="Times New Roman"/>
        </w:rPr>
        <w:t xml:space="preserve"> procent av de senaste tre årens genomsnittliga nivå på skatteintäkter och kommunalekonomisk utjämning</w:t>
      </w:r>
      <w:r w:rsidR="004D7758" w:rsidRPr="004D7758">
        <w:rPr>
          <w:rFonts w:ascii="Times New Roman" w:hAnsi="Times New Roman" w:cs="Times New Roman"/>
        </w:rPr>
        <w:t xml:space="preserve">. </w:t>
      </w:r>
    </w:p>
    <w:p w14:paraId="0B591337" w14:textId="07EA7F82" w:rsidR="004D7758" w:rsidRPr="00FE35F8" w:rsidRDefault="004D7758" w:rsidP="00E5671C">
      <w:pPr>
        <w:pStyle w:val="Liststycke"/>
        <w:numPr>
          <w:ilvl w:val="0"/>
          <w:numId w:val="9"/>
        </w:numPr>
        <w:spacing w:before="240" w:after="80" w:line="276" w:lineRule="auto"/>
        <w:rPr>
          <w:rFonts w:ascii="Times New Roman" w:hAnsi="Times New Roman" w:cs="Times New Roman"/>
        </w:rPr>
      </w:pPr>
      <w:r w:rsidRPr="004D7758">
        <w:rPr>
          <w:rFonts w:ascii="Times New Roman" w:hAnsi="Times New Roman" w:cs="Times New Roman"/>
        </w:rPr>
        <w:t xml:space="preserve">Medel ur RUR får disponeras när underskott uppstår till följd av att skatteintäkterna minskar i en konjunkturcykel. Vid definitionen av lågkonjunktur och för att bestämma när medel är möjliga att disponeras används utvecklingen av rikets underliggande skatteunderlag. </w:t>
      </w:r>
      <w:r w:rsidRPr="00FE35F8">
        <w:rPr>
          <w:rFonts w:ascii="Times New Roman" w:hAnsi="Times New Roman" w:cs="Times New Roman"/>
        </w:rPr>
        <w:t>När den årliga utvecklingen understiger den tioåriga utvecklingen får disposition ur utjämningsreserven ske</w:t>
      </w:r>
      <w:r w:rsidR="00FE35F8" w:rsidRPr="00FE35F8">
        <w:rPr>
          <w:rFonts w:ascii="Times New Roman" w:hAnsi="Times New Roman" w:cs="Times New Roman"/>
        </w:rPr>
        <w:t>.</w:t>
      </w:r>
    </w:p>
    <w:p w14:paraId="7342CD4A" w14:textId="45AA8DCA" w:rsidR="004D7758" w:rsidRDefault="004D7758" w:rsidP="00E5671C">
      <w:pPr>
        <w:pStyle w:val="Liststycke"/>
        <w:numPr>
          <w:ilvl w:val="0"/>
          <w:numId w:val="9"/>
        </w:numPr>
        <w:spacing w:before="240" w:after="80" w:line="276" w:lineRule="auto"/>
        <w:rPr>
          <w:rFonts w:ascii="Times New Roman" w:hAnsi="Times New Roman" w:cs="Times New Roman"/>
        </w:rPr>
      </w:pPr>
      <w:r w:rsidRPr="004D7758">
        <w:rPr>
          <w:rFonts w:ascii="Times New Roman" w:hAnsi="Times New Roman" w:cs="Times New Roman"/>
        </w:rPr>
        <w:t xml:space="preserve">Högst </w:t>
      </w:r>
      <w:r w:rsidR="002F5F7A">
        <w:rPr>
          <w:rFonts w:ascii="Times New Roman" w:hAnsi="Times New Roman" w:cs="Times New Roman"/>
        </w:rPr>
        <w:t>6</w:t>
      </w:r>
      <w:r w:rsidRPr="004D7758">
        <w:rPr>
          <w:rFonts w:ascii="Times New Roman" w:hAnsi="Times New Roman" w:cs="Times New Roman"/>
        </w:rPr>
        <w:t xml:space="preserve">0 procent av reserven får användas under ett enskilt år. Om reserven är </w:t>
      </w:r>
      <w:r w:rsidRPr="00FB5922">
        <w:rPr>
          <w:rFonts w:ascii="Times New Roman" w:hAnsi="Times New Roman" w:cs="Times New Roman"/>
        </w:rPr>
        <w:t>under 50</w:t>
      </w:r>
      <w:r w:rsidRPr="004D7758">
        <w:rPr>
          <w:rFonts w:ascii="Times New Roman" w:hAnsi="Times New Roman" w:cs="Times New Roman"/>
        </w:rPr>
        <w:t xml:space="preserve"> mnkr får hela reserven användas under ett år. </w:t>
      </w:r>
    </w:p>
    <w:p w14:paraId="64CA90F2" w14:textId="42D96C1C" w:rsidR="00AB047C" w:rsidRPr="004D7758" w:rsidRDefault="00FE35F8" w:rsidP="00E5671C">
      <w:pPr>
        <w:pStyle w:val="Liststycke"/>
        <w:numPr>
          <w:ilvl w:val="0"/>
          <w:numId w:val="9"/>
        </w:numPr>
        <w:spacing w:before="240" w:after="80" w:line="276" w:lineRule="auto"/>
        <w:rPr>
          <w:rFonts w:ascii="Times New Roman" w:hAnsi="Times New Roman" w:cs="Times New Roman"/>
        </w:rPr>
      </w:pPr>
      <w:r>
        <w:rPr>
          <w:rFonts w:ascii="Times New Roman" w:hAnsi="Times New Roman" w:cs="Times New Roman"/>
        </w:rPr>
        <w:t>RUR får inte utnyttjas för att sänka kommunens skattesats. Reserven får inte nyttjas under det året skatterna sänks för att kompensera ett underskott som kunde undvikits om skattesatsen hållits oförändrad. Detta gäller inte vid skatteväxling.</w:t>
      </w:r>
    </w:p>
    <w:p w14:paraId="4A277C4A" w14:textId="77777777" w:rsidR="004D7758" w:rsidRPr="004D7758" w:rsidRDefault="004D7758" w:rsidP="00E5671C">
      <w:pPr>
        <w:pStyle w:val="Liststycke"/>
        <w:numPr>
          <w:ilvl w:val="0"/>
          <w:numId w:val="9"/>
        </w:numPr>
        <w:spacing w:before="240" w:after="80" w:line="276" w:lineRule="auto"/>
        <w:rPr>
          <w:rFonts w:ascii="Times New Roman" w:hAnsi="Times New Roman" w:cs="Times New Roman"/>
        </w:rPr>
      </w:pPr>
      <w:r w:rsidRPr="004D7758">
        <w:rPr>
          <w:rFonts w:ascii="Times New Roman" w:hAnsi="Times New Roman" w:cs="Times New Roman"/>
        </w:rPr>
        <w:t xml:space="preserve">Kommunfullmäktige kan fatta beslut om att budgetera ett underskott som finansieras med disponering av RUR. </w:t>
      </w:r>
      <w:r w:rsidR="00E5671C">
        <w:rPr>
          <w:rFonts w:ascii="Times New Roman" w:hAnsi="Times New Roman" w:cs="Times New Roman"/>
        </w:rPr>
        <w:t>Detta under förutsättning att reglerna för disposition tillåter detta.</w:t>
      </w:r>
    </w:p>
    <w:p w14:paraId="67D7FDB2" w14:textId="72783958" w:rsidR="004D7758" w:rsidRPr="00911AFB" w:rsidRDefault="00911AFB" w:rsidP="00911AFB">
      <w:pPr>
        <w:pStyle w:val="Liststycke"/>
        <w:numPr>
          <w:ilvl w:val="0"/>
          <w:numId w:val="9"/>
        </w:numPr>
        <w:spacing w:before="240" w:after="80" w:line="276" w:lineRule="auto"/>
        <w:rPr>
          <w:rFonts w:ascii="Times New Roman" w:hAnsi="Times New Roman" w:cs="Times New Roman"/>
        </w:rPr>
      </w:pPr>
      <w:r w:rsidRPr="00911AFB">
        <w:rPr>
          <w:rFonts w:ascii="Times New Roman" w:hAnsi="Times New Roman" w:cs="Times New Roman"/>
        </w:rPr>
        <w:t>Kommunstyrelsen fattar beslut under löpande år om förslag att disponera RUR när hastigt försämrade skatteintäkter befaras leda till underskott.</w:t>
      </w:r>
      <w:r w:rsidRPr="00911AFB">
        <w:t xml:space="preserve"> </w:t>
      </w:r>
      <w:r w:rsidRPr="00911AFB">
        <w:rPr>
          <w:rFonts w:ascii="Times New Roman" w:hAnsi="Times New Roman" w:cs="Times New Roman"/>
        </w:rPr>
        <w:t>Det är kommunstyrelsen som lägger förslag till kommunfullmäktige som fattar det</w:t>
      </w:r>
      <w:r w:rsidR="004D7758" w:rsidRPr="00911AFB">
        <w:rPr>
          <w:rFonts w:ascii="Times New Roman" w:hAnsi="Times New Roman" w:cs="Times New Roman"/>
        </w:rPr>
        <w:t xml:space="preserve"> </w:t>
      </w:r>
      <w:r>
        <w:rPr>
          <w:rFonts w:ascii="Times New Roman" w:hAnsi="Times New Roman" w:cs="Times New Roman"/>
        </w:rPr>
        <w:t xml:space="preserve">slutliga beslutet. </w:t>
      </w:r>
      <w:r w:rsidR="004D7758" w:rsidRPr="00911AFB">
        <w:rPr>
          <w:rFonts w:ascii="Times New Roman" w:hAnsi="Times New Roman" w:cs="Times New Roman"/>
        </w:rPr>
        <w:t xml:space="preserve">Kriterier för rätt att disponera medel ska dock vara uppfyllda. </w:t>
      </w:r>
    </w:p>
    <w:p w14:paraId="642C7532" w14:textId="77777777" w:rsidR="004D7758" w:rsidRPr="004D7758" w:rsidRDefault="004D7758" w:rsidP="00E5671C">
      <w:pPr>
        <w:pStyle w:val="Liststycke"/>
        <w:numPr>
          <w:ilvl w:val="0"/>
          <w:numId w:val="9"/>
        </w:numPr>
        <w:spacing w:before="240" w:after="80" w:line="276" w:lineRule="auto"/>
        <w:rPr>
          <w:rFonts w:ascii="Times New Roman" w:hAnsi="Times New Roman" w:cs="Times New Roman"/>
        </w:rPr>
      </w:pPr>
      <w:r w:rsidRPr="004D7758">
        <w:rPr>
          <w:rFonts w:ascii="Times New Roman" w:hAnsi="Times New Roman" w:cs="Times New Roman"/>
        </w:rPr>
        <w:t xml:space="preserve">Slutlig disponering av reserven beslutas av kommunfullmäktige i samband med årsredovisningen. </w:t>
      </w:r>
    </w:p>
    <w:p w14:paraId="1898EFB6" w14:textId="77777777" w:rsidR="004D7758" w:rsidRPr="004D7758" w:rsidRDefault="004D7758" w:rsidP="004D7758">
      <w:pPr>
        <w:spacing w:before="240" w:after="80"/>
        <w:rPr>
          <w:rFonts w:ascii="Times New Roman" w:hAnsi="Times New Roman" w:cs="Times New Roman"/>
        </w:rPr>
      </w:pPr>
      <w:r w:rsidRPr="004D7758">
        <w:rPr>
          <w:rFonts w:ascii="Times New Roman" w:hAnsi="Times New Roman" w:cs="Times New Roman"/>
        </w:rPr>
        <w:t xml:space="preserve"> </w:t>
      </w:r>
    </w:p>
    <w:p w14:paraId="3E30C5DA" w14:textId="77777777" w:rsidR="009B109C" w:rsidRPr="004D7758" w:rsidRDefault="009B109C" w:rsidP="004D7758">
      <w:pPr>
        <w:spacing w:before="240" w:after="80"/>
        <w:rPr>
          <w:rFonts w:ascii="Times New Roman" w:hAnsi="Times New Roman" w:cs="Times New Roman"/>
        </w:rPr>
      </w:pPr>
    </w:p>
    <w:sectPr w:rsidR="009B109C" w:rsidRPr="004D77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5360" w14:textId="77777777" w:rsidR="000748CB" w:rsidRDefault="000748CB" w:rsidP="001C18F7">
      <w:pPr>
        <w:spacing w:after="0"/>
      </w:pPr>
      <w:r>
        <w:separator/>
      </w:r>
    </w:p>
  </w:endnote>
  <w:endnote w:type="continuationSeparator" w:id="0">
    <w:p w14:paraId="082FF909" w14:textId="77777777" w:rsidR="000748CB" w:rsidRDefault="000748CB" w:rsidP="001C18F7">
      <w:pPr>
        <w:spacing w:after="0"/>
      </w:pPr>
      <w:r>
        <w:continuationSeparator/>
      </w:r>
    </w:p>
  </w:endnote>
  <w:endnote w:type="continuationNotice" w:id="1">
    <w:p w14:paraId="2C3DBB1A" w14:textId="77777777" w:rsidR="000748CB" w:rsidRDefault="000748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629756"/>
      <w:docPartObj>
        <w:docPartGallery w:val="Page Numbers (Bottom of Page)"/>
        <w:docPartUnique/>
      </w:docPartObj>
    </w:sdtPr>
    <w:sdtEndPr/>
    <w:sdtContent>
      <w:p w14:paraId="0F1EABBE" w14:textId="77777777" w:rsidR="001C18F7" w:rsidRDefault="001C18F7">
        <w:pPr>
          <w:pStyle w:val="Sidfot"/>
          <w:jc w:val="center"/>
        </w:pPr>
        <w:r>
          <w:fldChar w:fldCharType="begin"/>
        </w:r>
        <w:r>
          <w:instrText>PAGE   \* MERGEFORMAT</w:instrText>
        </w:r>
        <w:r>
          <w:fldChar w:fldCharType="separate"/>
        </w:r>
        <w:r>
          <w:t>2</w:t>
        </w:r>
        <w:r>
          <w:fldChar w:fldCharType="end"/>
        </w:r>
      </w:p>
    </w:sdtContent>
  </w:sdt>
  <w:p w14:paraId="26AF53F8" w14:textId="77777777" w:rsidR="001C18F7" w:rsidRDefault="001C18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2331" w14:textId="77777777" w:rsidR="000748CB" w:rsidRDefault="000748CB" w:rsidP="001C18F7">
      <w:pPr>
        <w:spacing w:after="0"/>
      </w:pPr>
      <w:r>
        <w:separator/>
      </w:r>
    </w:p>
  </w:footnote>
  <w:footnote w:type="continuationSeparator" w:id="0">
    <w:p w14:paraId="6503E53B" w14:textId="77777777" w:rsidR="000748CB" w:rsidRDefault="000748CB" w:rsidP="001C18F7">
      <w:pPr>
        <w:spacing w:after="0"/>
      </w:pPr>
      <w:r>
        <w:continuationSeparator/>
      </w:r>
    </w:p>
  </w:footnote>
  <w:footnote w:type="continuationNotice" w:id="1">
    <w:p w14:paraId="24879E3C" w14:textId="77777777" w:rsidR="000748CB" w:rsidRDefault="000748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423A" w14:textId="71BA5B85" w:rsidR="001C18F7" w:rsidRDefault="001C18F7">
    <w:pPr>
      <w:pStyle w:val="Sidhuvud"/>
    </w:pPr>
    <w:r w:rsidRPr="001C18F7">
      <w:rPr>
        <w:noProof/>
      </w:rPr>
      <w:drawing>
        <wp:inline distT="0" distB="0" distL="0" distR="0" wp14:anchorId="78361871" wp14:editId="4E54B125">
          <wp:extent cx="1670449" cy="469433"/>
          <wp:effectExtent l="0" t="0" r="6350" b="6985"/>
          <wp:docPr id="5" name="Bildobjekt 4">
            <a:extLst xmlns:a="http://schemas.openxmlformats.org/drawingml/2006/main">
              <a:ext uri="{FF2B5EF4-FFF2-40B4-BE49-F238E27FC236}">
                <a16:creationId xmlns:a16="http://schemas.microsoft.com/office/drawing/2014/main" id="{FF2E053E-4784-4778-A2F9-22E967570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FF2E053E-4784-4778-A2F9-22E967570248}"/>
                      </a:ext>
                    </a:extLst>
                  </pic:cNvPr>
                  <pic:cNvPicPr>
                    <a:picLocks noChangeAspect="1"/>
                  </pic:cNvPicPr>
                </pic:nvPicPr>
                <pic:blipFill>
                  <a:blip r:embed="rId1"/>
                  <a:stretch>
                    <a:fillRect/>
                  </a:stretch>
                </pic:blipFill>
                <pic:spPr>
                  <a:xfrm>
                    <a:off x="0" y="0"/>
                    <a:ext cx="1670449" cy="469433"/>
                  </a:xfrm>
                  <a:prstGeom prst="rect">
                    <a:avLst/>
                  </a:prstGeom>
                </pic:spPr>
              </pic:pic>
            </a:graphicData>
          </a:graphic>
        </wp:inline>
      </w:drawing>
    </w:r>
  </w:p>
  <w:p w14:paraId="1555DFA0" w14:textId="77777777" w:rsidR="00FB5922" w:rsidRDefault="00FB5922">
    <w:pPr>
      <w:pStyle w:val="Sidhuvud"/>
    </w:pPr>
  </w:p>
  <w:p w14:paraId="5E266A3C" w14:textId="77777777" w:rsidR="001C18F7" w:rsidRDefault="001C18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7B6B"/>
    <w:multiLevelType w:val="hybridMultilevel"/>
    <w:tmpl w:val="15B65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1E7E82"/>
    <w:multiLevelType w:val="hybridMultilevel"/>
    <w:tmpl w:val="284E82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E710D4"/>
    <w:multiLevelType w:val="hybridMultilevel"/>
    <w:tmpl w:val="2DBE2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9F77CB"/>
    <w:multiLevelType w:val="hybridMultilevel"/>
    <w:tmpl w:val="CE762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6D1B9B"/>
    <w:multiLevelType w:val="hybridMultilevel"/>
    <w:tmpl w:val="F4E8F5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C14AE4"/>
    <w:multiLevelType w:val="hybridMultilevel"/>
    <w:tmpl w:val="6AEAF4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61622"/>
    <w:multiLevelType w:val="hybridMultilevel"/>
    <w:tmpl w:val="BA76B5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1B57733"/>
    <w:multiLevelType w:val="hybridMultilevel"/>
    <w:tmpl w:val="7D9C6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BA492E"/>
    <w:multiLevelType w:val="hybridMultilevel"/>
    <w:tmpl w:val="5C860C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58"/>
    <w:rsid w:val="000748CB"/>
    <w:rsid w:val="001C18F7"/>
    <w:rsid w:val="001E0454"/>
    <w:rsid w:val="002075DA"/>
    <w:rsid w:val="00216491"/>
    <w:rsid w:val="00216BB6"/>
    <w:rsid w:val="0023021C"/>
    <w:rsid w:val="002F5F7A"/>
    <w:rsid w:val="0035493B"/>
    <w:rsid w:val="003B68F2"/>
    <w:rsid w:val="0042285A"/>
    <w:rsid w:val="00457FC8"/>
    <w:rsid w:val="004D7758"/>
    <w:rsid w:val="00500908"/>
    <w:rsid w:val="00544D30"/>
    <w:rsid w:val="005C52F7"/>
    <w:rsid w:val="006410D5"/>
    <w:rsid w:val="006B6541"/>
    <w:rsid w:val="00771718"/>
    <w:rsid w:val="00780D3E"/>
    <w:rsid w:val="007E0AA0"/>
    <w:rsid w:val="008E112D"/>
    <w:rsid w:val="00911AFB"/>
    <w:rsid w:val="00976D0E"/>
    <w:rsid w:val="009A40A3"/>
    <w:rsid w:val="009B109C"/>
    <w:rsid w:val="009B7D1D"/>
    <w:rsid w:val="00A03B92"/>
    <w:rsid w:val="00A23A3A"/>
    <w:rsid w:val="00A6043D"/>
    <w:rsid w:val="00A768C0"/>
    <w:rsid w:val="00AB047C"/>
    <w:rsid w:val="00AB1C59"/>
    <w:rsid w:val="00AF744F"/>
    <w:rsid w:val="00B233BE"/>
    <w:rsid w:val="00B62F4B"/>
    <w:rsid w:val="00BE0D07"/>
    <w:rsid w:val="00C456F8"/>
    <w:rsid w:val="00C74FC8"/>
    <w:rsid w:val="00CC6F8F"/>
    <w:rsid w:val="00D33D18"/>
    <w:rsid w:val="00DA67EE"/>
    <w:rsid w:val="00E5671C"/>
    <w:rsid w:val="00FB5922"/>
    <w:rsid w:val="00FE3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C367"/>
  <w15:chartTrackingRefBased/>
  <w15:docId w15:val="{E6C110D1-3E60-45E7-AC64-19F7C27A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sv-SE"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next w:val="Normal"/>
    <w:link w:val="Rubrik1Char"/>
    <w:qFormat/>
    <w:rsid w:val="004D7758"/>
    <w:pPr>
      <w:keepNext/>
      <w:keepLines/>
      <w:spacing w:after="360"/>
      <w:outlineLvl w:val="0"/>
    </w:pPr>
    <w:rPr>
      <w:rFonts w:ascii="Arial" w:eastAsia="Arial" w:hAnsi="Arial" w:cs="Arial"/>
      <w:b/>
      <w:color w:val="A20000"/>
      <w:sz w:val="52"/>
    </w:rPr>
  </w:style>
  <w:style w:type="paragraph" w:styleId="Rubrik2">
    <w:name w:val="heading 2"/>
    <w:next w:val="Normal"/>
    <w:link w:val="Rubrik2Char"/>
    <w:qFormat/>
    <w:rsid w:val="004D7758"/>
    <w:pPr>
      <w:spacing w:after="80"/>
      <w:outlineLvl w:val="1"/>
    </w:pPr>
    <w:rPr>
      <w:rFonts w:ascii="Arial" w:eastAsia="Arial" w:hAnsi="Arial" w:cs="Arial"/>
      <w:b/>
      <w:color w:val="A20000"/>
      <w:sz w:val="32"/>
    </w:rPr>
  </w:style>
  <w:style w:type="paragraph" w:styleId="Rubrik3">
    <w:name w:val="heading 3"/>
    <w:next w:val="Normal"/>
    <w:link w:val="Rubrik3Char"/>
    <w:qFormat/>
    <w:rsid w:val="004D7758"/>
    <w:pPr>
      <w:keepNext/>
      <w:keepLines/>
      <w:spacing w:before="240" w:after="80"/>
      <w:outlineLvl w:val="2"/>
    </w:pPr>
    <w:rPr>
      <w:rFonts w:ascii="Arial" w:eastAsia="Arial" w:hAnsi="Arial" w:cs="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ision2">
    <w:name w:val="Vision 2"/>
    <w:basedOn w:val="Brdtext"/>
    <w:link w:val="Vision2Char"/>
    <w:qFormat/>
    <w:rsid w:val="004D7758"/>
    <w:pPr>
      <w:spacing w:before="140" w:after="60"/>
    </w:pPr>
    <w:rPr>
      <w:rFonts w:cs="Arial"/>
      <w:b/>
    </w:rPr>
  </w:style>
  <w:style w:type="character" w:customStyle="1" w:styleId="Vision2Char">
    <w:name w:val="Vision 2 Char"/>
    <w:basedOn w:val="BrdtextChar"/>
    <w:link w:val="Vision2"/>
    <w:rsid w:val="004D7758"/>
    <w:rPr>
      <w:rFonts w:ascii="Times New Roman" w:hAnsi="Times New Roman" w:cs="Arial"/>
      <w:b/>
    </w:rPr>
  </w:style>
  <w:style w:type="paragraph" w:styleId="Brdtext">
    <w:name w:val="Body Text"/>
    <w:link w:val="BrdtextChar"/>
    <w:uiPriority w:val="99"/>
    <w:semiHidden/>
    <w:unhideWhenUsed/>
    <w:qFormat/>
    <w:rsid w:val="004D7758"/>
    <w:rPr>
      <w:rFonts w:ascii="Times New Roman" w:hAnsi="Times New Roman"/>
    </w:rPr>
  </w:style>
  <w:style w:type="character" w:customStyle="1" w:styleId="BrdtextChar">
    <w:name w:val="Brödtext Char"/>
    <w:basedOn w:val="Standardstycketeckensnitt"/>
    <w:link w:val="Brdtext"/>
    <w:uiPriority w:val="99"/>
    <w:semiHidden/>
    <w:rsid w:val="004D7758"/>
    <w:rPr>
      <w:rFonts w:ascii="Times New Roman" w:hAnsi="Times New Roman"/>
    </w:rPr>
  </w:style>
  <w:style w:type="paragraph" w:customStyle="1" w:styleId="Vision">
    <w:name w:val="Vision"/>
    <w:basedOn w:val="Rubrik2"/>
    <w:link w:val="VisionChar"/>
    <w:qFormat/>
    <w:rsid w:val="004D7758"/>
    <w:pPr>
      <w:spacing w:before="180" w:after="60"/>
    </w:pPr>
    <w:rPr>
      <w:rFonts w:cs="Times New Roman"/>
      <w:noProof/>
      <w:sz w:val="24"/>
      <w:szCs w:val="24"/>
      <w:lang w:eastAsia="sv-SE"/>
    </w:rPr>
  </w:style>
  <w:style w:type="character" w:customStyle="1" w:styleId="VisionChar">
    <w:name w:val="Vision Char"/>
    <w:basedOn w:val="Rubrik2Char"/>
    <w:link w:val="Vision"/>
    <w:rsid w:val="004D7758"/>
    <w:rPr>
      <w:rFonts w:ascii="Arial" w:eastAsia="Arial" w:hAnsi="Arial" w:cs="Times New Roman"/>
      <w:b/>
      <w:noProof/>
      <w:color w:val="A20000"/>
      <w:sz w:val="24"/>
      <w:szCs w:val="24"/>
      <w:lang w:eastAsia="sv-SE"/>
    </w:rPr>
  </w:style>
  <w:style w:type="character" w:customStyle="1" w:styleId="Rubrik2Char">
    <w:name w:val="Rubrik 2 Char"/>
    <w:basedOn w:val="Standardstycketeckensnitt"/>
    <w:link w:val="Rubrik2"/>
    <w:rsid w:val="004D7758"/>
    <w:rPr>
      <w:rFonts w:ascii="Arial" w:eastAsia="Arial" w:hAnsi="Arial" w:cs="Arial"/>
      <w:b/>
      <w:color w:val="A20000"/>
      <w:sz w:val="32"/>
    </w:rPr>
  </w:style>
  <w:style w:type="paragraph" w:customStyle="1" w:styleId="Rubrik-4">
    <w:name w:val="Rubrik-4"/>
    <w:basedOn w:val="Vision2"/>
    <w:link w:val="Rubrik-4Char"/>
    <w:qFormat/>
    <w:rsid w:val="004D7758"/>
    <w:pPr>
      <w:spacing w:after="80"/>
    </w:pPr>
    <w:rPr>
      <w:rFonts w:ascii="Arial" w:hAnsi="Arial"/>
      <w:b w:val="0"/>
      <w:sz w:val="24"/>
      <w:szCs w:val="24"/>
    </w:rPr>
  </w:style>
  <w:style w:type="character" w:customStyle="1" w:styleId="Rubrik-4Char">
    <w:name w:val="Rubrik-4 Char"/>
    <w:basedOn w:val="Vision2Char"/>
    <w:link w:val="Rubrik-4"/>
    <w:rsid w:val="004D7758"/>
    <w:rPr>
      <w:rFonts w:ascii="Arial" w:hAnsi="Arial" w:cs="Arial"/>
      <w:b w:val="0"/>
      <w:sz w:val="24"/>
      <w:szCs w:val="24"/>
    </w:rPr>
  </w:style>
  <w:style w:type="character" w:customStyle="1" w:styleId="Rubrik1Char">
    <w:name w:val="Rubrik 1 Char"/>
    <w:basedOn w:val="Standardstycketeckensnitt"/>
    <w:link w:val="Rubrik1"/>
    <w:rsid w:val="004D7758"/>
    <w:rPr>
      <w:rFonts w:ascii="Arial" w:eastAsia="Arial" w:hAnsi="Arial" w:cs="Arial"/>
      <w:b/>
      <w:color w:val="A20000"/>
      <w:sz w:val="52"/>
    </w:rPr>
  </w:style>
  <w:style w:type="character" w:customStyle="1" w:styleId="Rubrik3Char">
    <w:name w:val="Rubrik 3 Char"/>
    <w:basedOn w:val="Standardstycketeckensnitt"/>
    <w:link w:val="Rubrik3"/>
    <w:rsid w:val="004D7758"/>
    <w:rPr>
      <w:rFonts w:ascii="Arial" w:eastAsia="Arial" w:hAnsi="Arial" w:cs="Arial"/>
      <w:b/>
      <w:i/>
      <w:sz w:val="24"/>
    </w:rPr>
  </w:style>
  <w:style w:type="paragraph" w:styleId="Innehllsfrteckningsrubrik">
    <w:name w:val="TOC Heading"/>
    <w:basedOn w:val="Rubrik1"/>
    <w:next w:val="Normal"/>
    <w:uiPriority w:val="39"/>
    <w:semiHidden/>
    <w:unhideWhenUsed/>
    <w:qFormat/>
    <w:rsid w:val="004D7758"/>
    <w:pPr>
      <w:spacing w:before="480" w:after="0" w:line="260" w:lineRule="auto"/>
      <w:outlineLvl w:val="9"/>
    </w:pPr>
    <w:rPr>
      <w:rFonts w:asciiTheme="majorHAnsi" w:eastAsiaTheme="majorEastAsia" w:hAnsiTheme="majorHAnsi" w:cstheme="majorBidi"/>
      <w:bCs/>
      <w:color w:val="2F5496" w:themeColor="accent1" w:themeShade="BF"/>
      <w:szCs w:val="28"/>
    </w:rPr>
  </w:style>
  <w:style w:type="paragraph" w:styleId="Liststycke">
    <w:name w:val="List Paragraph"/>
    <w:basedOn w:val="Normal"/>
    <w:uiPriority w:val="34"/>
    <w:rsid w:val="004D7758"/>
    <w:pPr>
      <w:ind w:left="720"/>
      <w:contextualSpacing/>
    </w:pPr>
  </w:style>
  <w:style w:type="table" w:styleId="Tabellrutnt">
    <w:name w:val="Table Grid"/>
    <w:basedOn w:val="Normaltabell"/>
    <w:uiPriority w:val="39"/>
    <w:rsid w:val="00E567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E5671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5671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dhuvud">
    <w:name w:val="header"/>
    <w:basedOn w:val="Normal"/>
    <w:link w:val="SidhuvudChar"/>
    <w:uiPriority w:val="99"/>
    <w:unhideWhenUsed/>
    <w:rsid w:val="001C18F7"/>
    <w:pPr>
      <w:tabs>
        <w:tab w:val="center" w:pos="4536"/>
        <w:tab w:val="right" w:pos="9072"/>
      </w:tabs>
      <w:spacing w:after="0"/>
    </w:pPr>
  </w:style>
  <w:style w:type="character" w:customStyle="1" w:styleId="SidhuvudChar">
    <w:name w:val="Sidhuvud Char"/>
    <w:basedOn w:val="Standardstycketeckensnitt"/>
    <w:link w:val="Sidhuvud"/>
    <w:uiPriority w:val="99"/>
    <w:rsid w:val="001C18F7"/>
  </w:style>
  <w:style w:type="paragraph" w:styleId="Sidfot">
    <w:name w:val="footer"/>
    <w:basedOn w:val="Normal"/>
    <w:link w:val="SidfotChar"/>
    <w:uiPriority w:val="99"/>
    <w:unhideWhenUsed/>
    <w:rsid w:val="001C18F7"/>
    <w:pPr>
      <w:tabs>
        <w:tab w:val="center" w:pos="4536"/>
        <w:tab w:val="right" w:pos="9072"/>
      </w:tabs>
      <w:spacing w:after="0"/>
    </w:pPr>
  </w:style>
  <w:style w:type="character" w:customStyle="1" w:styleId="SidfotChar">
    <w:name w:val="Sidfot Char"/>
    <w:basedOn w:val="Standardstycketeckensnitt"/>
    <w:link w:val="Sidfot"/>
    <w:uiPriority w:val="99"/>
    <w:rsid w:val="001C18F7"/>
  </w:style>
  <w:style w:type="character" w:styleId="Kommentarsreferens">
    <w:name w:val="annotation reference"/>
    <w:basedOn w:val="Standardstycketeckensnitt"/>
    <w:uiPriority w:val="99"/>
    <w:semiHidden/>
    <w:unhideWhenUsed/>
    <w:rsid w:val="00CC6F8F"/>
    <w:rPr>
      <w:sz w:val="16"/>
      <w:szCs w:val="16"/>
    </w:rPr>
  </w:style>
  <w:style w:type="paragraph" w:styleId="Kommentarer">
    <w:name w:val="annotation text"/>
    <w:basedOn w:val="Normal"/>
    <w:link w:val="KommentarerChar"/>
    <w:uiPriority w:val="99"/>
    <w:semiHidden/>
    <w:unhideWhenUsed/>
    <w:rsid w:val="00CC6F8F"/>
    <w:rPr>
      <w:sz w:val="20"/>
      <w:szCs w:val="20"/>
    </w:rPr>
  </w:style>
  <w:style w:type="character" w:customStyle="1" w:styleId="KommentarerChar">
    <w:name w:val="Kommentarer Char"/>
    <w:basedOn w:val="Standardstycketeckensnitt"/>
    <w:link w:val="Kommentarer"/>
    <w:uiPriority w:val="99"/>
    <w:semiHidden/>
    <w:rsid w:val="00CC6F8F"/>
    <w:rPr>
      <w:sz w:val="20"/>
      <w:szCs w:val="20"/>
    </w:rPr>
  </w:style>
  <w:style w:type="paragraph" w:styleId="Kommentarsmne">
    <w:name w:val="annotation subject"/>
    <w:basedOn w:val="Kommentarer"/>
    <w:next w:val="Kommentarer"/>
    <w:link w:val="KommentarsmneChar"/>
    <w:uiPriority w:val="99"/>
    <w:semiHidden/>
    <w:unhideWhenUsed/>
    <w:rsid w:val="00CC6F8F"/>
    <w:rPr>
      <w:b/>
      <w:bCs/>
    </w:rPr>
  </w:style>
  <w:style w:type="character" w:customStyle="1" w:styleId="KommentarsmneChar">
    <w:name w:val="Kommentarsämne Char"/>
    <w:basedOn w:val="KommentarerChar"/>
    <w:link w:val="Kommentarsmne"/>
    <w:uiPriority w:val="99"/>
    <w:semiHidden/>
    <w:rsid w:val="00CC6F8F"/>
    <w:rPr>
      <w:b/>
      <w:bCs/>
      <w:sz w:val="20"/>
      <w:szCs w:val="20"/>
    </w:rPr>
  </w:style>
  <w:style w:type="paragraph" w:styleId="Ballongtext">
    <w:name w:val="Balloon Text"/>
    <w:basedOn w:val="Normal"/>
    <w:link w:val="BallongtextChar"/>
    <w:uiPriority w:val="99"/>
    <w:semiHidden/>
    <w:unhideWhenUsed/>
    <w:rsid w:val="00CC6F8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a:t>Årets resultat</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sv-SE"/>
        </a:p>
      </c:txPr>
    </c:title>
    <c:autoTitleDeleted val="0"/>
    <c:plotArea>
      <c:layout/>
      <c:barChart>
        <c:barDir val="col"/>
        <c:grouping val="clustered"/>
        <c:varyColors val="0"/>
        <c:ser>
          <c:idx val="0"/>
          <c:order val="0"/>
          <c:tx>
            <c:strRef>
              <c:f>Blad1!$A$8</c:f>
              <c:strCache>
                <c:ptCount val="1"/>
                <c:pt idx="0">
                  <c:v>Årets resultat</c:v>
                </c:pt>
              </c:strCache>
            </c:strRef>
          </c:tx>
          <c:spPr>
            <a:solidFill>
              <a:schemeClr val="accent2"/>
            </a:solidFill>
            <a:ln>
              <a:noFill/>
            </a:ln>
            <a:effectLst/>
          </c:spPr>
          <c:invertIfNegative val="0"/>
          <c:cat>
            <c:numRef>
              <c:f>Blad1!$B$7:$L$7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Blad1!$B$8:$L$8</c:f>
              <c:numCache>
                <c:formatCode>General</c:formatCode>
                <c:ptCount val="11"/>
                <c:pt idx="0">
                  <c:v>86</c:v>
                </c:pt>
                <c:pt idx="1">
                  <c:v>51</c:v>
                </c:pt>
                <c:pt idx="2">
                  <c:v>43</c:v>
                </c:pt>
                <c:pt idx="3">
                  <c:v>67</c:v>
                </c:pt>
                <c:pt idx="4">
                  <c:v>15</c:v>
                </c:pt>
                <c:pt idx="5">
                  <c:v>105</c:v>
                </c:pt>
                <c:pt idx="6">
                  <c:v>118</c:v>
                </c:pt>
                <c:pt idx="7">
                  <c:v>150</c:v>
                </c:pt>
                <c:pt idx="8">
                  <c:v>48</c:v>
                </c:pt>
                <c:pt idx="9">
                  <c:v>53</c:v>
                </c:pt>
                <c:pt idx="10">
                  <c:v>107</c:v>
                </c:pt>
              </c:numCache>
            </c:numRef>
          </c:val>
          <c:extLst>
            <c:ext xmlns:c16="http://schemas.microsoft.com/office/drawing/2014/chart" uri="{C3380CC4-5D6E-409C-BE32-E72D297353CC}">
              <c16:uniqueId val="{00000000-46E0-425E-80E9-99C20E6C57B8}"/>
            </c:ext>
          </c:extLst>
        </c:ser>
        <c:dLbls>
          <c:showLegendKey val="0"/>
          <c:showVal val="0"/>
          <c:showCatName val="0"/>
          <c:showSerName val="0"/>
          <c:showPercent val="0"/>
          <c:showBubbleSize val="0"/>
        </c:dLbls>
        <c:gapWidth val="219"/>
        <c:axId val="668636192"/>
        <c:axId val="668639144"/>
      </c:barChart>
      <c:lineChart>
        <c:grouping val="standard"/>
        <c:varyColors val="0"/>
        <c:ser>
          <c:idx val="1"/>
          <c:order val="1"/>
          <c:tx>
            <c:strRef>
              <c:f>Blad1!$A$9</c:f>
              <c:strCache>
                <c:ptCount val="1"/>
                <c:pt idx="0">
                  <c:v>2% av skatteintäkter</c:v>
                </c:pt>
              </c:strCache>
            </c:strRef>
          </c:tx>
          <c:spPr>
            <a:ln w="28575" cap="rnd">
              <a:solidFill>
                <a:schemeClr val="accent4"/>
              </a:solidFill>
              <a:round/>
            </a:ln>
            <a:effectLst/>
          </c:spPr>
          <c:marker>
            <c:symbol val="none"/>
          </c:marker>
          <c:cat>
            <c:numRef>
              <c:f>Blad1!$B$7:$L$7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Blad1!$B$9:$L$9</c:f>
              <c:numCache>
                <c:formatCode>0</c:formatCode>
                <c:ptCount val="11"/>
                <c:pt idx="0">
                  <c:v>52.08</c:v>
                </c:pt>
                <c:pt idx="1">
                  <c:v>53.6</c:v>
                </c:pt>
                <c:pt idx="2">
                  <c:v>54.878</c:v>
                </c:pt>
                <c:pt idx="3">
                  <c:v>57.330796880000001</c:v>
                </c:pt>
                <c:pt idx="4">
                  <c:v>59.613999999999997</c:v>
                </c:pt>
                <c:pt idx="5">
                  <c:v>61.57</c:v>
                </c:pt>
                <c:pt idx="6">
                  <c:v>64.471999999999994</c:v>
                </c:pt>
                <c:pt idx="7">
                  <c:v>67.72</c:v>
                </c:pt>
                <c:pt idx="8">
                  <c:v>67.78</c:v>
                </c:pt>
                <c:pt idx="9">
                  <c:v>70.58</c:v>
                </c:pt>
                <c:pt idx="10">
                  <c:v>74.14</c:v>
                </c:pt>
              </c:numCache>
            </c:numRef>
          </c:val>
          <c:smooth val="0"/>
          <c:extLst>
            <c:ext xmlns:c16="http://schemas.microsoft.com/office/drawing/2014/chart" uri="{C3380CC4-5D6E-409C-BE32-E72D297353CC}">
              <c16:uniqueId val="{00000001-46E0-425E-80E9-99C20E6C57B8}"/>
            </c:ext>
          </c:extLst>
        </c:ser>
        <c:dLbls>
          <c:showLegendKey val="0"/>
          <c:showVal val="0"/>
          <c:showCatName val="0"/>
          <c:showSerName val="0"/>
          <c:showPercent val="0"/>
          <c:showBubbleSize val="0"/>
        </c:dLbls>
        <c:marker val="1"/>
        <c:smooth val="0"/>
        <c:axId val="668636192"/>
        <c:axId val="668639144"/>
      </c:lineChart>
      <c:catAx>
        <c:axId val="66863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v-SE"/>
          </a:p>
        </c:txPr>
        <c:crossAx val="668639144"/>
        <c:crosses val="autoZero"/>
        <c:auto val="1"/>
        <c:lblAlgn val="ctr"/>
        <c:lblOffset val="100"/>
        <c:noMultiLvlLbl val="0"/>
      </c:catAx>
      <c:valAx>
        <c:axId val="668639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v-SE"/>
          </a:p>
        </c:txPr>
        <c:crossAx val="66863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Investeringar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bg1">
                <a:lumMod val="65000"/>
              </a:schemeClr>
            </a:solidFill>
            <a:ln>
              <a:noFill/>
            </a:ln>
            <a:effectLst/>
          </c:spPr>
          <c:invertIfNegative val="0"/>
          <c:cat>
            <c:numRef>
              <c:f>'Diagram inv.takt'!$J$7:$T$7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'Diagram inv.takt'!$J$8:$T$8</c:f>
              <c:numCache>
                <c:formatCode>0</c:formatCode>
                <c:ptCount val="11"/>
                <c:pt idx="0">
                  <c:v>112.9</c:v>
                </c:pt>
                <c:pt idx="1">
                  <c:v>144.1</c:v>
                </c:pt>
                <c:pt idx="2">
                  <c:v>127.1</c:v>
                </c:pt>
                <c:pt idx="3">
                  <c:v>189.8</c:v>
                </c:pt>
                <c:pt idx="4">
                  <c:v>317.7</c:v>
                </c:pt>
                <c:pt idx="5">
                  <c:v>192</c:v>
                </c:pt>
                <c:pt idx="6">
                  <c:v>218</c:v>
                </c:pt>
                <c:pt idx="7">
                  <c:v>327</c:v>
                </c:pt>
                <c:pt idx="8">
                  <c:v>305</c:v>
                </c:pt>
                <c:pt idx="9">
                  <c:v>511</c:v>
                </c:pt>
                <c:pt idx="10" formatCode="General">
                  <c:v>510</c:v>
                </c:pt>
              </c:numCache>
            </c:numRef>
          </c:val>
          <c:extLst>
            <c:ext xmlns:c16="http://schemas.microsoft.com/office/drawing/2014/chart" uri="{C3380CC4-5D6E-409C-BE32-E72D297353CC}">
              <c16:uniqueId val="{00000000-C9C9-4F2A-812A-C6EAEAE98923}"/>
            </c:ext>
          </c:extLst>
        </c:ser>
        <c:dLbls>
          <c:showLegendKey val="0"/>
          <c:showVal val="0"/>
          <c:showCatName val="0"/>
          <c:showSerName val="0"/>
          <c:showPercent val="0"/>
          <c:showBubbleSize val="0"/>
        </c:dLbls>
        <c:gapWidth val="219"/>
        <c:overlap val="-27"/>
        <c:axId val="788429632"/>
        <c:axId val="788432584"/>
      </c:barChart>
      <c:catAx>
        <c:axId val="78842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88432584"/>
        <c:crosses val="autoZero"/>
        <c:auto val="1"/>
        <c:lblAlgn val="ctr"/>
        <c:lblOffset val="100"/>
        <c:noMultiLvlLbl val="0"/>
      </c:catAx>
      <c:valAx>
        <c:axId val="788432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mnkr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8842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Soliditet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7.6419787804302239E-2"/>
          <c:y val="4.1939620561128488E-2"/>
          <c:w val="0.9057165309915336"/>
          <c:h val="0.8431625620426948"/>
        </c:manualLayout>
      </c:layout>
      <c:lineChart>
        <c:grouping val="standard"/>
        <c:varyColors val="0"/>
        <c:ser>
          <c:idx val="0"/>
          <c:order val="0"/>
          <c:tx>
            <c:strRef>
              <c:f>soliditet!$A$3</c:f>
              <c:strCache>
                <c:ptCount val="1"/>
                <c:pt idx="0">
                  <c:v>Alla kommuner (ovägt medel)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soliditet!$B$2:$K$2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soliditet!$B$3:$K$3</c:f>
              <c:numCache>
                <c:formatCode>#,##0.0</c:formatCode>
                <c:ptCount val="10"/>
                <c:pt idx="0">
                  <c:v>6.3546688299999996</c:v>
                </c:pt>
                <c:pt idx="1">
                  <c:v>2.8707652600000002</c:v>
                </c:pt>
                <c:pt idx="2">
                  <c:v>4.6117754700000004</c:v>
                </c:pt>
                <c:pt idx="3">
                  <c:v>3.82768555</c:v>
                </c:pt>
                <c:pt idx="4">
                  <c:v>6.6980850800000002</c:v>
                </c:pt>
                <c:pt idx="5">
                  <c:v>9.8056695999999999</c:v>
                </c:pt>
                <c:pt idx="6">
                  <c:v>14.329564339999999</c:v>
                </c:pt>
                <c:pt idx="7">
                  <c:v>17.06719541</c:v>
                </c:pt>
                <c:pt idx="8">
                  <c:v>17.930896520000001</c:v>
                </c:pt>
                <c:pt idx="9">
                  <c:v>19.159960680000001</c:v>
                </c:pt>
              </c:numCache>
            </c:numRef>
          </c:val>
          <c:smooth val="0"/>
          <c:extLst>
            <c:ext xmlns:c16="http://schemas.microsoft.com/office/drawing/2014/chart" uri="{C3380CC4-5D6E-409C-BE32-E72D297353CC}">
              <c16:uniqueId val="{00000000-C3A8-43EC-B11D-0C0E2CC13CB4}"/>
            </c:ext>
          </c:extLst>
        </c:ser>
        <c:ser>
          <c:idx val="2"/>
          <c:order val="2"/>
          <c:tx>
            <c:strRef>
              <c:f>soliditet!$A$4</c:f>
              <c:strCache>
                <c:ptCount val="1"/>
                <c:pt idx="0">
                  <c:v>Falun</c:v>
                </c:pt>
              </c:strCache>
            </c:strRef>
          </c:tx>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soliditet!$B$2:$K$2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soliditet!$B$4:$K$4</c:f>
              <c:numCache>
                <c:formatCode>#,##0.0</c:formatCode>
                <c:ptCount val="10"/>
                <c:pt idx="0">
                  <c:v>-25.257211999999999</c:v>
                </c:pt>
                <c:pt idx="1">
                  <c:v>-28.864405999999999</c:v>
                </c:pt>
                <c:pt idx="2">
                  <c:v>-25.166384999999998</c:v>
                </c:pt>
                <c:pt idx="3">
                  <c:v>-27.409590999999999</c:v>
                </c:pt>
                <c:pt idx="4">
                  <c:v>-23.446314999999998</c:v>
                </c:pt>
                <c:pt idx="5">
                  <c:v>-14.197241</c:v>
                </c:pt>
                <c:pt idx="6">
                  <c:v>-7.2731640000000004</c:v>
                </c:pt>
                <c:pt idx="7">
                  <c:v>-0.93481499999999995</c:v>
                </c:pt>
                <c:pt idx="8">
                  <c:v>2.5766170000000002</c:v>
                </c:pt>
                <c:pt idx="9">
                  <c:v>5.8635140000000003</c:v>
                </c:pt>
              </c:numCache>
            </c:numRef>
          </c:val>
          <c:smooth val="0"/>
          <c:extLst>
            <c:ext xmlns:c16="http://schemas.microsoft.com/office/drawing/2014/chart" uri="{C3380CC4-5D6E-409C-BE32-E72D297353CC}">
              <c16:uniqueId val="{00000001-C3A8-43EC-B11D-0C0E2CC13CB4}"/>
            </c:ext>
          </c:extLst>
        </c:ser>
        <c:dLbls>
          <c:showLegendKey val="0"/>
          <c:showVal val="0"/>
          <c:showCatName val="0"/>
          <c:showSerName val="0"/>
          <c:showPercent val="0"/>
          <c:showBubbleSize val="0"/>
        </c:dLbls>
        <c:marker val="1"/>
        <c:smooth val="0"/>
        <c:axId val="401442216"/>
        <c:axId val="401432048"/>
        <c:extLst>
          <c:ext xmlns:c15="http://schemas.microsoft.com/office/drawing/2012/chart" uri="{02D57815-91ED-43cb-92C2-25804820EDAC}">
            <c15:filteredLineSeries>
              <c15:ser>
                <c:idx val="1"/>
                <c:order val="1"/>
                <c:tx>
                  <c:strRef>
                    <c:extLst>
                      <c:ext uri="{02D57815-91ED-43cb-92C2-25804820EDAC}">
                        <c15:formulaRef>
                          <c15:sqref>soliditet!$A$5</c15:sqref>
                        </c15:formulaRef>
                      </c:ext>
                    </c:extLst>
                    <c:strCache>
                      <c:ptCount val="1"/>
                      <c:pt idx="0">
                        <c:v>Dalarnas läns kommuner (ovägt medel)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c:ext uri="{02D57815-91ED-43cb-92C2-25804820EDAC}">
                        <c15:formulaRef>
                          <c15:sqref>soliditet!$B$2:$K$2</c15:sqref>
                        </c15:formulaRef>
                      </c:ext>
                    </c:extLst>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extLst>
                      <c:ext uri="{02D57815-91ED-43cb-92C2-25804820EDAC}">
                        <c15:formulaRef>
                          <c15:sqref>soliditet!$B$5:$K$5</c15:sqref>
                        </c15:formulaRef>
                      </c:ext>
                    </c:extLst>
                    <c:numCache>
                      <c:formatCode>#,##0.0</c:formatCode>
                      <c:ptCount val="10"/>
                      <c:pt idx="0">
                        <c:v>-8.1001595300000009</c:v>
                      </c:pt>
                      <c:pt idx="1">
                        <c:v>-10.958138330000001</c:v>
                      </c:pt>
                      <c:pt idx="2">
                        <c:v>-9.6901836600000006</c:v>
                      </c:pt>
                      <c:pt idx="3">
                        <c:v>-10.282598930000001</c:v>
                      </c:pt>
                      <c:pt idx="4">
                        <c:v>-7.0880824200000001</c:v>
                      </c:pt>
                      <c:pt idx="5">
                        <c:v>-2.5133146000000002</c:v>
                      </c:pt>
                      <c:pt idx="6">
                        <c:v>3.6311127999999999</c:v>
                      </c:pt>
                      <c:pt idx="7">
                        <c:v>6.9533517299999996</c:v>
                      </c:pt>
                      <c:pt idx="8">
                        <c:v>9.0534859999999995</c:v>
                      </c:pt>
                      <c:pt idx="9">
                        <c:v>11.245287060000001</c:v>
                      </c:pt>
                    </c:numCache>
                  </c:numRef>
                </c:val>
                <c:smooth val="0"/>
                <c:extLst>
                  <c:ext xmlns:c16="http://schemas.microsoft.com/office/drawing/2014/chart" uri="{C3380CC4-5D6E-409C-BE32-E72D297353CC}">
                    <c16:uniqueId val="{00000002-C3A8-43EC-B11D-0C0E2CC13CB4}"/>
                  </c:ext>
                </c:extLst>
              </c15:ser>
            </c15:filteredLineSeries>
          </c:ext>
        </c:extLst>
      </c:lineChart>
      <c:catAx>
        <c:axId val="40144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1432048"/>
        <c:crosses val="autoZero"/>
        <c:auto val="1"/>
        <c:lblAlgn val="ctr"/>
        <c:lblOffset val="100"/>
        <c:noMultiLvlLbl val="0"/>
      </c:catAx>
      <c:valAx>
        <c:axId val="40143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1442216"/>
        <c:crosses val="autoZero"/>
        <c:crossBetween val="between"/>
      </c:valAx>
      <c:spPr>
        <a:noFill/>
        <a:ln>
          <a:noFill/>
        </a:ln>
        <a:effectLst/>
      </c:spPr>
    </c:plotArea>
    <c:legend>
      <c:legendPos val="b"/>
      <c:layout>
        <c:manualLayout>
          <c:xMode val="edge"/>
          <c:yMode val="edge"/>
          <c:x val="0.2399636136426776"/>
          <c:y val="0.89493218967225652"/>
          <c:w val="0.54045234219623961"/>
          <c:h val="8.10524404910481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A4CDE-7AF6-4499-AA42-B6306270AE30}"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sv-SE"/>
        </a:p>
      </dgm:t>
    </dgm:pt>
    <dgm:pt modelId="{3F666F5D-66ED-4B94-BC3A-5102563F18DC}">
      <dgm:prSet phldrT="[Text]"/>
      <dgm:spPr/>
      <dgm:t>
        <a:bodyPr/>
        <a:lstStyle/>
        <a:p>
          <a:r>
            <a:rPr lang="sv-SE"/>
            <a:t>God ekonomisk hushållning</a:t>
          </a:r>
        </a:p>
      </dgm:t>
    </dgm:pt>
    <dgm:pt modelId="{ECCA5F0E-5FA6-4083-8B24-C684A797FE02}" type="parTrans" cxnId="{87ABA58A-727E-4259-B016-93D54982710D}">
      <dgm:prSet/>
      <dgm:spPr/>
      <dgm:t>
        <a:bodyPr/>
        <a:lstStyle/>
        <a:p>
          <a:endParaRPr lang="sv-SE"/>
        </a:p>
      </dgm:t>
    </dgm:pt>
    <dgm:pt modelId="{DE7677CB-8A36-4723-BFB9-9BB4EB30F07A}" type="sibTrans" cxnId="{87ABA58A-727E-4259-B016-93D54982710D}">
      <dgm:prSet/>
      <dgm:spPr/>
      <dgm:t>
        <a:bodyPr/>
        <a:lstStyle/>
        <a:p>
          <a:endParaRPr lang="sv-SE"/>
        </a:p>
      </dgm:t>
    </dgm:pt>
    <dgm:pt modelId="{EE9370D2-B3CC-45B5-BF0D-A32BCD9651C6}">
      <dgm:prSet phldrT="[Text]"/>
      <dgm:spPr/>
      <dgm:t>
        <a:bodyPr/>
        <a:lstStyle/>
        <a:p>
          <a:r>
            <a:rPr lang="sv-SE"/>
            <a:t>Resultatnivå</a:t>
          </a:r>
        </a:p>
      </dgm:t>
    </dgm:pt>
    <dgm:pt modelId="{5CA1A89A-6EEF-41D0-A8F9-0CD0860BEF31}" type="parTrans" cxnId="{D26F6893-6B33-48C8-BA2C-DFBB0A9EE02C}">
      <dgm:prSet/>
      <dgm:spPr/>
      <dgm:t>
        <a:bodyPr/>
        <a:lstStyle/>
        <a:p>
          <a:endParaRPr lang="sv-SE"/>
        </a:p>
      </dgm:t>
    </dgm:pt>
    <dgm:pt modelId="{F629ACFA-38A7-49F6-BF53-10724215ADCC}" type="sibTrans" cxnId="{D26F6893-6B33-48C8-BA2C-DFBB0A9EE02C}">
      <dgm:prSet/>
      <dgm:spPr/>
      <dgm:t>
        <a:bodyPr/>
        <a:lstStyle/>
        <a:p>
          <a:endParaRPr lang="sv-SE"/>
        </a:p>
      </dgm:t>
    </dgm:pt>
    <dgm:pt modelId="{A30629CB-D881-4898-B932-2FB0DDDBCB17}">
      <dgm:prSet phldrT="[Text]"/>
      <dgm:spPr/>
      <dgm:t>
        <a:bodyPr/>
        <a:lstStyle/>
        <a:p>
          <a:r>
            <a:rPr lang="sv-SE"/>
            <a:t>Självfinansiering av investeringar</a:t>
          </a:r>
        </a:p>
      </dgm:t>
    </dgm:pt>
    <dgm:pt modelId="{9BE86157-53AC-42A3-A2CF-1748F3CDE9C1}" type="parTrans" cxnId="{ACB866B4-0762-442A-A447-4BF1271D15E1}">
      <dgm:prSet/>
      <dgm:spPr/>
      <dgm:t>
        <a:bodyPr/>
        <a:lstStyle/>
        <a:p>
          <a:endParaRPr lang="sv-SE"/>
        </a:p>
      </dgm:t>
    </dgm:pt>
    <dgm:pt modelId="{C885CEC0-DD12-4D79-8DB0-BA3E50BA7C83}" type="sibTrans" cxnId="{ACB866B4-0762-442A-A447-4BF1271D15E1}">
      <dgm:prSet/>
      <dgm:spPr/>
      <dgm:t>
        <a:bodyPr/>
        <a:lstStyle/>
        <a:p>
          <a:endParaRPr lang="sv-SE"/>
        </a:p>
      </dgm:t>
    </dgm:pt>
    <dgm:pt modelId="{4068A889-D349-487F-B6F7-84DF310F964E}">
      <dgm:prSet phldrT="[Text]"/>
      <dgm:spPr/>
      <dgm:t>
        <a:bodyPr/>
        <a:lstStyle/>
        <a:p>
          <a:r>
            <a:rPr lang="sv-SE"/>
            <a:t>Soliditet</a:t>
          </a:r>
        </a:p>
      </dgm:t>
    </dgm:pt>
    <dgm:pt modelId="{0BFF7127-F7AB-41E9-B081-73360AA9280A}" type="parTrans" cxnId="{C6F46887-AA39-42C1-BAB1-6B8E1C03B110}">
      <dgm:prSet/>
      <dgm:spPr/>
      <dgm:t>
        <a:bodyPr/>
        <a:lstStyle/>
        <a:p>
          <a:endParaRPr lang="sv-SE"/>
        </a:p>
      </dgm:t>
    </dgm:pt>
    <dgm:pt modelId="{2F414323-9CE1-46D0-BA14-842D67674E04}" type="sibTrans" cxnId="{C6F46887-AA39-42C1-BAB1-6B8E1C03B110}">
      <dgm:prSet/>
      <dgm:spPr/>
      <dgm:t>
        <a:bodyPr/>
        <a:lstStyle/>
        <a:p>
          <a:endParaRPr lang="sv-SE"/>
        </a:p>
      </dgm:t>
    </dgm:pt>
    <dgm:pt modelId="{7DC02989-DD42-4027-8033-1E0ACFE14C86}" type="pres">
      <dgm:prSet presAssocID="{417A4CDE-7AF6-4499-AA42-B6306270AE30}" presName="cycle" presStyleCnt="0">
        <dgm:presLayoutVars>
          <dgm:chMax val="1"/>
          <dgm:dir/>
          <dgm:animLvl val="ctr"/>
          <dgm:resizeHandles val="exact"/>
        </dgm:presLayoutVars>
      </dgm:prSet>
      <dgm:spPr/>
    </dgm:pt>
    <dgm:pt modelId="{CFE908FA-10BE-4D1D-8E06-5840CA8F0175}" type="pres">
      <dgm:prSet presAssocID="{3F666F5D-66ED-4B94-BC3A-5102563F18DC}" presName="centerShape" presStyleLbl="node0" presStyleIdx="0" presStyleCnt="1"/>
      <dgm:spPr/>
    </dgm:pt>
    <dgm:pt modelId="{F3F053B5-FE39-4F07-8DDA-846CC51D2242}" type="pres">
      <dgm:prSet presAssocID="{5CA1A89A-6EEF-41D0-A8F9-0CD0860BEF31}" presName="parTrans" presStyleLbl="bgSibTrans2D1" presStyleIdx="0" presStyleCnt="3"/>
      <dgm:spPr/>
    </dgm:pt>
    <dgm:pt modelId="{A1A2F05A-25BD-4741-B3F0-E700196C350F}" type="pres">
      <dgm:prSet presAssocID="{EE9370D2-B3CC-45B5-BF0D-A32BCD9651C6}" presName="node" presStyleLbl="node1" presStyleIdx="0" presStyleCnt="3">
        <dgm:presLayoutVars>
          <dgm:bulletEnabled val="1"/>
        </dgm:presLayoutVars>
      </dgm:prSet>
      <dgm:spPr/>
    </dgm:pt>
    <dgm:pt modelId="{E1F61646-121B-4A3F-A687-27AD4D8CFE3A}" type="pres">
      <dgm:prSet presAssocID="{9BE86157-53AC-42A3-A2CF-1748F3CDE9C1}" presName="parTrans" presStyleLbl="bgSibTrans2D1" presStyleIdx="1" presStyleCnt="3"/>
      <dgm:spPr/>
    </dgm:pt>
    <dgm:pt modelId="{01C150C8-2512-4A8F-BCC2-D01798DD514D}" type="pres">
      <dgm:prSet presAssocID="{A30629CB-D881-4898-B932-2FB0DDDBCB17}" presName="node" presStyleLbl="node1" presStyleIdx="1" presStyleCnt="3">
        <dgm:presLayoutVars>
          <dgm:bulletEnabled val="1"/>
        </dgm:presLayoutVars>
      </dgm:prSet>
      <dgm:spPr/>
    </dgm:pt>
    <dgm:pt modelId="{B157BE6C-2074-43F7-BA5A-181F2F69EABE}" type="pres">
      <dgm:prSet presAssocID="{0BFF7127-F7AB-41E9-B081-73360AA9280A}" presName="parTrans" presStyleLbl="bgSibTrans2D1" presStyleIdx="2" presStyleCnt="3"/>
      <dgm:spPr/>
    </dgm:pt>
    <dgm:pt modelId="{F6FE55AD-CCF0-460B-B890-D4A792107191}" type="pres">
      <dgm:prSet presAssocID="{4068A889-D349-487F-B6F7-84DF310F964E}" presName="node" presStyleLbl="node1" presStyleIdx="2" presStyleCnt="3">
        <dgm:presLayoutVars>
          <dgm:bulletEnabled val="1"/>
        </dgm:presLayoutVars>
      </dgm:prSet>
      <dgm:spPr/>
    </dgm:pt>
  </dgm:ptLst>
  <dgm:cxnLst>
    <dgm:cxn modelId="{A69F9E18-E6CB-45D1-8D02-599399FF2BB7}" type="presOf" srcId="{5CA1A89A-6EEF-41D0-A8F9-0CD0860BEF31}" destId="{F3F053B5-FE39-4F07-8DDA-846CC51D2242}" srcOrd="0" destOrd="0" presId="urn:microsoft.com/office/officeart/2005/8/layout/radial4"/>
    <dgm:cxn modelId="{17CC7C1B-81A8-4A48-95A3-186900F724B3}" type="presOf" srcId="{3F666F5D-66ED-4B94-BC3A-5102563F18DC}" destId="{CFE908FA-10BE-4D1D-8E06-5840CA8F0175}" srcOrd="0" destOrd="0" presId="urn:microsoft.com/office/officeart/2005/8/layout/radial4"/>
    <dgm:cxn modelId="{887E6325-1217-460D-94BE-9B91B5AF1987}" type="presOf" srcId="{9BE86157-53AC-42A3-A2CF-1748F3CDE9C1}" destId="{E1F61646-121B-4A3F-A687-27AD4D8CFE3A}" srcOrd="0" destOrd="0" presId="urn:microsoft.com/office/officeart/2005/8/layout/radial4"/>
    <dgm:cxn modelId="{6F63735C-7B22-477F-B70A-5C54939EA634}" type="presOf" srcId="{EE9370D2-B3CC-45B5-BF0D-A32BCD9651C6}" destId="{A1A2F05A-25BD-4741-B3F0-E700196C350F}" srcOrd="0" destOrd="0" presId="urn:microsoft.com/office/officeart/2005/8/layout/radial4"/>
    <dgm:cxn modelId="{78809C6C-C01F-4699-92B7-68E2AFE52FDB}" type="presOf" srcId="{4068A889-D349-487F-B6F7-84DF310F964E}" destId="{F6FE55AD-CCF0-460B-B890-D4A792107191}" srcOrd="0" destOrd="0" presId="urn:microsoft.com/office/officeart/2005/8/layout/radial4"/>
    <dgm:cxn modelId="{C6F46887-AA39-42C1-BAB1-6B8E1C03B110}" srcId="{3F666F5D-66ED-4B94-BC3A-5102563F18DC}" destId="{4068A889-D349-487F-B6F7-84DF310F964E}" srcOrd="2" destOrd="0" parTransId="{0BFF7127-F7AB-41E9-B081-73360AA9280A}" sibTransId="{2F414323-9CE1-46D0-BA14-842D67674E04}"/>
    <dgm:cxn modelId="{87ABA58A-727E-4259-B016-93D54982710D}" srcId="{417A4CDE-7AF6-4499-AA42-B6306270AE30}" destId="{3F666F5D-66ED-4B94-BC3A-5102563F18DC}" srcOrd="0" destOrd="0" parTransId="{ECCA5F0E-5FA6-4083-8B24-C684A797FE02}" sibTransId="{DE7677CB-8A36-4723-BFB9-9BB4EB30F07A}"/>
    <dgm:cxn modelId="{563E608C-669A-4814-9D20-F0D62F590E4D}" type="presOf" srcId="{0BFF7127-F7AB-41E9-B081-73360AA9280A}" destId="{B157BE6C-2074-43F7-BA5A-181F2F69EABE}" srcOrd="0" destOrd="0" presId="urn:microsoft.com/office/officeart/2005/8/layout/radial4"/>
    <dgm:cxn modelId="{D26F6893-6B33-48C8-BA2C-DFBB0A9EE02C}" srcId="{3F666F5D-66ED-4B94-BC3A-5102563F18DC}" destId="{EE9370D2-B3CC-45B5-BF0D-A32BCD9651C6}" srcOrd="0" destOrd="0" parTransId="{5CA1A89A-6EEF-41D0-A8F9-0CD0860BEF31}" sibTransId="{F629ACFA-38A7-49F6-BF53-10724215ADCC}"/>
    <dgm:cxn modelId="{BB547A9D-7793-4E4B-9DDF-AB9E83843FE1}" type="presOf" srcId="{A30629CB-D881-4898-B932-2FB0DDDBCB17}" destId="{01C150C8-2512-4A8F-BCC2-D01798DD514D}" srcOrd="0" destOrd="0" presId="urn:microsoft.com/office/officeart/2005/8/layout/radial4"/>
    <dgm:cxn modelId="{ACB866B4-0762-442A-A447-4BF1271D15E1}" srcId="{3F666F5D-66ED-4B94-BC3A-5102563F18DC}" destId="{A30629CB-D881-4898-B932-2FB0DDDBCB17}" srcOrd="1" destOrd="0" parTransId="{9BE86157-53AC-42A3-A2CF-1748F3CDE9C1}" sibTransId="{C885CEC0-DD12-4D79-8DB0-BA3E50BA7C83}"/>
    <dgm:cxn modelId="{47CB94F3-5FA1-452B-AAA0-890468E2DDF3}" type="presOf" srcId="{417A4CDE-7AF6-4499-AA42-B6306270AE30}" destId="{7DC02989-DD42-4027-8033-1E0ACFE14C86}" srcOrd="0" destOrd="0" presId="urn:microsoft.com/office/officeart/2005/8/layout/radial4"/>
    <dgm:cxn modelId="{97107384-008D-450D-BFFB-DAC1091027A8}" type="presParOf" srcId="{7DC02989-DD42-4027-8033-1E0ACFE14C86}" destId="{CFE908FA-10BE-4D1D-8E06-5840CA8F0175}" srcOrd="0" destOrd="0" presId="urn:microsoft.com/office/officeart/2005/8/layout/radial4"/>
    <dgm:cxn modelId="{0E61CA4E-64EA-43AC-8235-6B5F0ADA26E8}" type="presParOf" srcId="{7DC02989-DD42-4027-8033-1E0ACFE14C86}" destId="{F3F053B5-FE39-4F07-8DDA-846CC51D2242}" srcOrd="1" destOrd="0" presId="urn:microsoft.com/office/officeart/2005/8/layout/radial4"/>
    <dgm:cxn modelId="{4015631B-B80E-417E-A7FB-2E6B9DC48579}" type="presParOf" srcId="{7DC02989-DD42-4027-8033-1E0ACFE14C86}" destId="{A1A2F05A-25BD-4741-B3F0-E700196C350F}" srcOrd="2" destOrd="0" presId="urn:microsoft.com/office/officeart/2005/8/layout/radial4"/>
    <dgm:cxn modelId="{229C32B7-38E6-475E-9122-0DCA1A36FFA3}" type="presParOf" srcId="{7DC02989-DD42-4027-8033-1E0ACFE14C86}" destId="{E1F61646-121B-4A3F-A687-27AD4D8CFE3A}" srcOrd="3" destOrd="0" presId="urn:microsoft.com/office/officeart/2005/8/layout/radial4"/>
    <dgm:cxn modelId="{FCD858CA-1F84-4BB8-8A92-F5B97EC39B73}" type="presParOf" srcId="{7DC02989-DD42-4027-8033-1E0ACFE14C86}" destId="{01C150C8-2512-4A8F-BCC2-D01798DD514D}" srcOrd="4" destOrd="0" presId="urn:microsoft.com/office/officeart/2005/8/layout/radial4"/>
    <dgm:cxn modelId="{6025DE95-0042-44B8-BE41-34631DF877BD}" type="presParOf" srcId="{7DC02989-DD42-4027-8033-1E0ACFE14C86}" destId="{B157BE6C-2074-43F7-BA5A-181F2F69EABE}" srcOrd="5" destOrd="0" presId="urn:microsoft.com/office/officeart/2005/8/layout/radial4"/>
    <dgm:cxn modelId="{49393D06-E78D-4D99-A066-0EC726FCB994}" type="presParOf" srcId="{7DC02989-DD42-4027-8033-1E0ACFE14C86}" destId="{F6FE55AD-CCF0-460B-B890-D4A792107191}"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908FA-10BE-4D1D-8E06-5840CA8F0175}">
      <dsp:nvSpPr>
        <dsp:cNvPr id="0" name=""/>
        <dsp:cNvSpPr/>
      </dsp:nvSpPr>
      <dsp:spPr>
        <a:xfrm>
          <a:off x="2013385" y="1739549"/>
          <a:ext cx="1459628" cy="14596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sv-SE" sz="1700" kern="1200"/>
            <a:t>God ekonomisk hushållning</a:t>
          </a:r>
        </a:p>
      </dsp:txBody>
      <dsp:txXfrm>
        <a:off x="2227143" y="1953307"/>
        <a:ext cx="1032112" cy="1032112"/>
      </dsp:txXfrm>
    </dsp:sp>
    <dsp:sp modelId="{F3F053B5-FE39-4F07-8DDA-846CC51D2242}">
      <dsp:nvSpPr>
        <dsp:cNvPr id="0" name=""/>
        <dsp:cNvSpPr/>
      </dsp:nvSpPr>
      <dsp:spPr>
        <a:xfrm rot="12900000">
          <a:off x="1074621" y="1484629"/>
          <a:ext cx="1118566" cy="41599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A2F05A-25BD-4741-B3F0-E700196C350F}">
      <dsp:nvSpPr>
        <dsp:cNvPr id="0" name=""/>
        <dsp:cNvSpPr/>
      </dsp:nvSpPr>
      <dsp:spPr>
        <a:xfrm>
          <a:off x="482442" y="817176"/>
          <a:ext cx="1386647" cy="110931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sv-SE" sz="1500" kern="1200"/>
            <a:t>Resultatnivå</a:t>
          </a:r>
        </a:p>
      </dsp:txBody>
      <dsp:txXfrm>
        <a:off x="514933" y="849667"/>
        <a:ext cx="1321665" cy="1044335"/>
      </dsp:txXfrm>
    </dsp:sp>
    <dsp:sp modelId="{E1F61646-121B-4A3F-A687-27AD4D8CFE3A}">
      <dsp:nvSpPr>
        <dsp:cNvPr id="0" name=""/>
        <dsp:cNvSpPr/>
      </dsp:nvSpPr>
      <dsp:spPr>
        <a:xfrm rot="16200000">
          <a:off x="2183916" y="907167"/>
          <a:ext cx="1118566" cy="415994"/>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C150C8-2512-4A8F-BCC2-D01798DD514D}">
      <dsp:nvSpPr>
        <dsp:cNvPr id="0" name=""/>
        <dsp:cNvSpPr/>
      </dsp:nvSpPr>
      <dsp:spPr>
        <a:xfrm>
          <a:off x="2049876" y="1221"/>
          <a:ext cx="1386647" cy="110931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sv-SE" sz="1500" kern="1200"/>
            <a:t>Självfinansiering av investeringar</a:t>
          </a:r>
        </a:p>
      </dsp:txBody>
      <dsp:txXfrm>
        <a:off x="2082367" y="33712"/>
        <a:ext cx="1321665" cy="1044335"/>
      </dsp:txXfrm>
    </dsp:sp>
    <dsp:sp modelId="{B157BE6C-2074-43F7-BA5A-181F2F69EABE}">
      <dsp:nvSpPr>
        <dsp:cNvPr id="0" name=""/>
        <dsp:cNvSpPr/>
      </dsp:nvSpPr>
      <dsp:spPr>
        <a:xfrm rot="19500000">
          <a:off x="3293211" y="1484629"/>
          <a:ext cx="1118566" cy="415994"/>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FE55AD-CCF0-460B-B890-D4A792107191}">
      <dsp:nvSpPr>
        <dsp:cNvPr id="0" name=""/>
        <dsp:cNvSpPr/>
      </dsp:nvSpPr>
      <dsp:spPr>
        <a:xfrm>
          <a:off x="3617309" y="817176"/>
          <a:ext cx="1386647" cy="110931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sv-SE" sz="1500" kern="1200"/>
            <a:t>Soliditet</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D2A0-17C5-4BFE-BAF7-DE3BE6A5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2956</Words>
  <Characters>15673</Characters>
  <Application>Microsoft Office Word</Application>
  <DocSecurity>0</DocSecurity>
  <Lines>130</Lines>
  <Paragraphs>37</Paragraphs>
  <ScaleCrop>false</ScaleCrop>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Nilsson</dc:creator>
  <cp:keywords/>
  <dc:description/>
  <cp:lastModifiedBy>Inger Koch</cp:lastModifiedBy>
  <cp:revision>5</cp:revision>
  <cp:lastPrinted>2020-11-18T13:31:00Z</cp:lastPrinted>
  <dcterms:created xsi:type="dcterms:W3CDTF">2021-01-07T12:00:00Z</dcterms:created>
  <dcterms:modified xsi:type="dcterms:W3CDTF">2021-01-08T12:20:00Z</dcterms:modified>
</cp:coreProperties>
</file>